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38" w14:textId="77777777" w:rsidR="008B2007" w:rsidRDefault="00CF6B7B">
      <w:pPr>
        <w:rPr>
          <w:b/>
          <w:bCs/>
          <w:u w:val="single"/>
        </w:rPr>
      </w:pPr>
      <w:bookmarkStart w:id="0" w:name="_GoBack"/>
      <w:bookmarkEnd w:id="0"/>
      <w:r w:rsidRPr="00CF6B7B">
        <w:rPr>
          <w:b/>
          <w:bCs/>
          <w:u w:val="single"/>
        </w:rPr>
        <w:t xml:space="preserve">Wandsworth Working in Partnership with the VCS </w:t>
      </w:r>
    </w:p>
    <w:p w14:paraId="6F509C8E" w14:textId="05B59052" w:rsidR="00CF6B7B" w:rsidRDefault="008B20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Covid-19 </w:t>
      </w:r>
      <w:r w:rsidR="00CF6B7B" w:rsidRPr="00CF6B7B">
        <w:rPr>
          <w:b/>
          <w:bCs/>
          <w:u w:val="single"/>
        </w:rPr>
        <w:t>Survey Summary</w:t>
      </w:r>
    </w:p>
    <w:p w14:paraId="252C3FF0" w14:textId="77777777" w:rsidR="0024500A" w:rsidRDefault="0024500A" w:rsidP="0024500A">
      <w:pPr>
        <w:pStyle w:val="ListParagraph"/>
        <w:tabs>
          <w:tab w:val="left" w:pos="851"/>
        </w:tabs>
        <w:ind w:left="360"/>
      </w:pPr>
      <w:r>
        <w:t>Headlines:</w:t>
      </w:r>
    </w:p>
    <w:p w14:paraId="2D9DB2C1" w14:textId="7459E6AD" w:rsidR="0024500A" w:rsidRDefault="0024500A" w:rsidP="005668D7">
      <w:pPr>
        <w:pStyle w:val="ListParagraph"/>
        <w:numPr>
          <w:ilvl w:val="0"/>
          <w:numId w:val="3"/>
        </w:numPr>
      </w:pPr>
      <w:r>
        <w:t xml:space="preserve">A minimum of </w:t>
      </w:r>
      <w:r w:rsidR="15F2E064">
        <w:t>12,037, and</w:t>
      </w:r>
      <w:r w:rsidR="00646117">
        <w:t xml:space="preserve"> </w:t>
      </w:r>
      <w:r w:rsidR="16CBD706">
        <w:t>p</w:t>
      </w:r>
      <w:r w:rsidR="33A059F1">
        <w:t>ossibly up to 33,550</w:t>
      </w:r>
      <w:r w:rsidR="00914951">
        <w:t xml:space="preserve"> </w:t>
      </w:r>
      <w:r>
        <w:t>individual Wandsworth residents have been supported with Covid-19 related services since they commenced.</w:t>
      </w:r>
    </w:p>
    <w:p w14:paraId="15DF646B" w14:textId="77777777" w:rsidR="0024500A" w:rsidRDefault="0024500A" w:rsidP="005668D7">
      <w:pPr>
        <w:pStyle w:val="ListParagraph"/>
        <w:numPr>
          <w:ilvl w:val="0"/>
          <w:numId w:val="3"/>
        </w:numPr>
      </w:pPr>
      <w:r w:rsidRPr="00F20309">
        <w:t>54 responses to the survey were received</w:t>
      </w:r>
      <w:r>
        <w:t xml:space="preserve"> from organisations responding to the Covid-19 crisis, </w:t>
      </w:r>
    </w:p>
    <w:p w14:paraId="361C093B" w14:textId="59E9DECA" w:rsidR="0024500A" w:rsidRDefault="0024500A" w:rsidP="005668D7">
      <w:pPr>
        <w:pStyle w:val="ListParagraph"/>
        <w:numPr>
          <w:ilvl w:val="0"/>
          <w:numId w:val="3"/>
        </w:numPr>
      </w:pPr>
      <w:r>
        <w:t xml:space="preserve">2 respondents </w:t>
      </w:r>
      <w:r w:rsidR="3489BA46">
        <w:t xml:space="preserve">were </w:t>
      </w:r>
      <w:r>
        <w:t>new organisation</w:t>
      </w:r>
      <w:r w:rsidR="1220D8FA">
        <w:t>s</w:t>
      </w:r>
      <w:r>
        <w:t xml:space="preserve"> that formed </w:t>
      </w:r>
      <w:r w:rsidR="7C9B772F">
        <w:t xml:space="preserve">during </w:t>
      </w:r>
      <w:r>
        <w:t xml:space="preserve">the pandemic. </w:t>
      </w:r>
    </w:p>
    <w:p w14:paraId="6C9AE44A" w14:textId="0E170E30" w:rsidR="0024500A" w:rsidRPr="00017F48" w:rsidRDefault="0024500A" w:rsidP="005668D7">
      <w:pPr>
        <w:pStyle w:val="ListParagraph"/>
        <w:numPr>
          <w:ilvl w:val="0"/>
          <w:numId w:val="3"/>
        </w:numPr>
      </w:pPr>
      <w:r>
        <w:t>Half</w:t>
      </w:r>
      <w:r w:rsidR="26DDF9D6">
        <w:t xml:space="preserve"> of the organisations responding</w:t>
      </w:r>
      <w:r>
        <w:t xml:space="preserve"> (51%) support</w:t>
      </w:r>
      <w:r w:rsidR="51A4954F">
        <w:t>ed</w:t>
      </w:r>
      <w:r>
        <w:t xml:space="preserve"> the whole borough. </w:t>
      </w:r>
      <w:r w:rsidR="005E3614">
        <w:t xml:space="preserve">The </w:t>
      </w:r>
      <w:r w:rsidR="003315A2">
        <w:t>constituency of Tooting had the</w:t>
      </w:r>
      <w:r w:rsidR="062CCAE6">
        <w:t xml:space="preserve"> lowest number of organisations offering local support.</w:t>
      </w:r>
    </w:p>
    <w:p w14:paraId="0D34CC25" w14:textId="54EDFEA3" w:rsidR="0024500A" w:rsidRDefault="44A84FD3" w:rsidP="005668D7">
      <w:pPr>
        <w:pStyle w:val="ListParagraph"/>
        <w:numPr>
          <w:ilvl w:val="0"/>
          <w:numId w:val="3"/>
        </w:numPr>
      </w:pPr>
      <w:r>
        <w:t>The m</w:t>
      </w:r>
      <w:r w:rsidR="0024500A">
        <w:t>ost common form of support offered w</w:t>
      </w:r>
      <w:r w:rsidR="19D6D390">
        <w:t xml:space="preserve">as </w:t>
      </w:r>
      <w:r w:rsidR="0024500A">
        <w:t>emotional support / befriending</w:t>
      </w:r>
      <w:r w:rsidR="2FC118E5">
        <w:t>.</w:t>
      </w:r>
    </w:p>
    <w:p w14:paraId="3D88523A" w14:textId="3117773F" w:rsidR="0024500A" w:rsidRDefault="1630022E" w:rsidP="005668D7">
      <w:pPr>
        <w:pStyle w:val="ListParagraph"/>
        <w:numPr>
          <w:ilvl w:val="0"/>
          <w:numId w:val="3"/>
        </w:numPr>
      </w:pPr>
      <w:r>
        <w:t>The most common client</w:t>
      </w:r>
      <w:r w:rsidR="0024500A">
        <w:t xml:space="preserve"> reasons for needing the Covid-19 related services were</w:t>
      </w:r>
      <w:r w:rsidR="294A3DB9">
        <w:t xml:space="preserve"> needs due to s</w:t>
      </w:r>
      <w:r w:rsidR="0024500A">
        <w:t>hielding</w:t>
      </w:r>
      <w:r w:rsidR="7A4A83BE">
        <w:t>,</w:t>
      </w:r>
      <w:r w:rsidR="0024500A">
        <w:t xml:space="preserve"> </w:t>
      </w:r>
      <w:r w:rsidR="4E7630DF">
        <w:t>but financial difficulties came a reasonably close second.</w:t>
      </w:r>
    </w:p>
    <w:p w14:paraId="31C74A0C" w14:textId="77777777" w:rsidR="0024500A" w:rsidRPr="0024500A" w:rsidRDefault="0024500A" w:rsidP="0024500A">
      <w:pPr>
        <w:pStyle w:val="ListParagraph"/>
        <w:numPr>
          <w:ilvl w:val="0"/>
          <w:numId w:val="3"/>
        </w:numPr>
      </w:pPr>
      <w:r w:rsidRPr="0024500A">
        <w:t xml:space="preserve">Those aged 65+ were the most supported client group </w:t>
      </w:r>
    </w:p>
    <w:p w14:paraId="45707312" w14:textId="26D79E02" w:rsidR="0024500A" w:rsidRDefault="0024500A" w:rsidP="0024500A">
      <w:pPr>
        <w:pStyle w:val="ListParagraph"/>
        <w:numPr>
          <w:ilvl w:val="0"/>
          <w:numId w:val="3"/>
        </w:numPr>
      </w:pPr>
      <w:r>
        <w:t>33% of organisations surveyed had come across clients who have been experiencing domestic abuse or</w:t>
      </w:r>
      <w:r w:rsidR="25EB7AE4">
        <w:t xml:space="preserve"> had identified</w:t>
      </w:r>
      <w:r>
        <w:t xml:space="preserve"> a safeguarding need during this crisis period. </w:t>
      </w:r>
    </w:p>
    <w:p w14:paraId="014E6C8A" w14:textId="58CEBE22" w:rsidR="005C0606" w:rsidRDefault="005C0606" w:rsidP="080F973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More than half of organisations</w:t>
      </w:r>
      <w:r w:rsidR="33271FB9">
        <w:t xml:space="preserve"> (52%)</w:t>
      </w:r>
      <w:r>
        <w:t xml:space="preserve"> felt they could not anticipate how long they will be providing Covid-19 related services for</w:t>
      </w:r>
      <w:r w:rsidR="008366E8">
        <w:t>.</w:t>
      </w:r>
    </w:p>
    <w:p w14:paraId="38A68DE0" w14:textId="0A2947DD" w:rsidR="005C0606" w:rsidRDefault="005C0606" w:rsidP="005C0606">
      <w:pPr>
        <w:pStyle w:val="ListParagraph"/>
        <w:numPr>
          <w:ilvl w:val="0"/>
          <w:numId w:val="3"/>
        </w:numPr>
      </w:pPr>
      <w:r>
        <w:t>26 (63%) of 41 organisations felt that</w:t>
      </w:r>
      <w:r w:rsidR="0B86CC7A">
        <w:t>,</w:t>
      </w:r>
      <w:r>
        <w:t xml:space="preserve"> if they ceased Covid-19 related services within the next year, they did not anticipate that any service users will need continuing support </w:t>
      </w:r>
      <w:r w:rsidR="2CA9EC58">
        <w:t xml:space="preserve">of the type </w:t>
      </w:r>
      <w:r>
        <w:t>that their organisation w</w:t>
      </w:r>
      <w:r w:rsidR="3B153614">
        <w:t>ould</w:t>
      </w:r>
      <w:r>
        <w:t xml:space="preserve"> no longer be providing. </w:t>
      </w:r>
    </w:p>
    <w:p w14:paraId="689D9680" w14:textId="18F24490" w:rsidR="005C0606" w:rsidRDefault="005C0606" w:rsidP="005C0606">
      <w:pPr>
        <w:pStyle w:val="ListParagraph"/>
        <w:numPr>
          <w:ilvl w:val="0"/>
          <w:numId w:val="3"/>
        </w:numPr>
      </w:pPr>
      <w:r>
        <w:t xml:space="preserve"> However, 15 (37%) anticipated </w:t>
      </w:r>
      <w:r w:rsidR="694AFA19">
        <w:t>their users would have a continuing need</w:t>
      </w:r>
      <w:r>
        <w:t xml:space="preserve">, with the 3 most commonly categorised areas of need continuing to be due to food, Financial issues or a lack of resource. </w:t>
      </w:r>
    </w:p>
    <w:p w14:paraId="2F58DD40" w14:textId="77777777" w:rsidR="005C0606" w:rsidRPr="0024500A" w:rsidRDefault="005C0606" w:rsidP="00BC7968">
      <w:pPr>
        <w:pStyle w:val="ListParagraph"/>
        <w:ind w:left="1080"/>
      </w:pPr>
    </w:p>
    <w:p w14:paraId="6D2C1768" w14:textId="4F8AE4C5" w:rsidR="00CF6B7B" w:rsidRDefault="00CF6B7B">
      <w:pPr>
        <w:rPr>
          <w:b/>
          <w:bCs/>
          <w:u w:val="single"/>
        </w:rPr>
      </w:pPr>
    </w:p>
    <w:p w14:paraId="53F2FE0D" w14:textId="77777777" w:rsidR="00CF6B7B" w:rsidRPr="00D34EBC" w:rsidRDefault="00CF6B7B" w:rsidP="00CF6B7B">
      <w:pPr>
        <w:pStyle w:val="ListParagraph"/>
        <w:numPr>
          <w:ilvl w:val="0"/>
          <w:numId w:val="2"/>
        </w:numPr>
        <w:rPr>
          <w:i/>
          <w:iCs/>
        </w:rPr>
      </w:pPr>
      <w:r w:rsidRPr="00D34EBC">
        <w:rPr>
          <w:i/>
          <w:iCs/>
        </w:rPr>
        <w:t>Background</w:t>
      </w:r>
    </w:p>
    <w:p w14:paraId="5C5988E0" w14:textId="120512DA" w:rsidR="00CF6B7B" w:rsidRDefault="00CF6B7B" w:rsidP="00CF6B7B">
      <w:pPr>
        <w:pStyle w:val="ListParagraph"/>
        <w:numPr>
          <w:ilvl w:val="1"/>
          <w:numId w:val="2"/>
        </w:numPr>
      </w:pPr>
      <w:r>
        <w:t xml:space="preserve">A short </w:t>
      </w:r>
      <w:r w:rsidR="00FA135A">
        <w:t xml:space="preserve">online </w:t>
      </w:r>
      <w:r>
        <w:t>questionnaire was developed, promoted to and disseminated across the Voluntary Community Sector (VCS)</w:t>
      </w:r>
      <w:r w:rsidR="00E560A8">
        <w:t xml:space="preserve"> and statutory services</w:t>
      </w:r>
      <w:r>
        <w:t xml:space="preserve"> to help the </w:t>
      </w:r>
      <w:r w:rsidR="0312A3F7">
        <w:t>C</w:t>
      </w:r>
      <w:r>
        <w:t>ouncil understand how residents have been affected during the pandemic, what support organisations have been providing, and to ascertain the future of their service provision in the coming months.</w:t>
      </w:r>
    </w:p>
    <w:p w14:paraId="5D2C3747" w14:textId="13ECF736" w:rsidR="00CF6B7B" w:rsidRDefault="00CF6B7B" w:rsidP="00CF6B7B">
      <w:pPr>
        <w:pStyle w:val="ListParagraph"/>
        <w:numPr>
          <w:ilvl w:val="1"/>
          <w:numId w:val="2"/>
        </w:numPr>
      </w:pPr>
      <w:r>
        <w:t>The survey opened on 8</w:t>
      </w:r>
      <w:r w:rsidRPr="080F9736">
        <w:rPr>
          <w:vertAlign w:val="superscript"/>
        </w:rPr>
        <w:t>th</w:t>
      </w:r>
      <w:r>
        <w:t xml:space="preserve"> July 2020</w:t>
      </w:r>
      <w:r w:rsidR="3D1328C2">
        <w:t xml:space="preserve"> and</w:t>
      </w:r>
      <w:r>
        <w:t xml:space="preserve"> clos</w:t>
      </w:r>
      <w:r w:rsidR="2CACC145">
        <w:t>ed</w:t>
      </w:r>
      <w:r>
        <w:t xml:space="preserve"> on 28</w:t>
      </w:r>
      <w:r w:rsidRPr="080F9736">
        <w:rPr>
          <w:vertAlign w:val="superscript"/>
        </w:rPr>
        <w:t>th</w:t>
      </w:r>
      <w:r>
        <w:t xml:space="preserve"> July 2020. </w:t>
      </w:r>
    </w:p>
    <w:p w14:paraId="3FAE1F1E" w14:textId="09626607" w:rsidR="00CF6B7B" w:rsidRDefault="00CF6B7B" w:rsidP="00CF6B7B">
      <w:pPr>
        <w:pStyle w:val="ListParagraph"/>
        <w:numPr>
          <w:ilvl w:val="1"/>
          <w:numId w:val="2"/>
        </w:numPr>
      </w:pPr>
      <w:r w:rsidRPr="00CF6B7B">
        <w:t xml:space="preserve">The feedback from this survey will be used to help plan the support needed for our residents.  </w:t>
      </w:r>
    </w:p>
    <w:p w14:paraId="1EF0CA0D" w14:textId="77777777" w:rsidR="000E6F8F" w:rsidRDefault="000E6F8F" w:rsidP="000E6F8F">
      <w:pPr>
        <w:pStyle w:val="ListParagraph"/>
        <w:ind w:left="792"/>
      </w:pPr>
    </w:p>
    <w:p w14:paraId="2D9238BE" w14:textId="16E7E1DE" w:rsidR="000E6F8F" w:rsidRPr="000E6F8F" w:rsidRDefault="00EF4BD3" w:rsidP="000E6F8F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Top line </w:t>
      </w:r>
      <w:r w:rsidR="000E6F8F" w:rsidRPr="000E6F8F">
        <w:rPr>
          <w:b/>
          <w:bCs/>
        </w:rPr>
        <w:t>Survey Findings</w:t>
      </w:r>
    </w:p>
    <w:p w14:paraId="155F7043" w14:textId="77777777" w:rsidR="000E6F8F" w:rsidRDefault="000E6F8F" w:rsidP="000E6F8F">
      <w:pPr>
        <w:pStyle w:val="ListParagraph"/>
        <w:ind w:left="360"/>
      </w:pPr>
    </w:p>
    <w:p w14:paraId="1CE4C495" w14:textId="4C2102F8" w:rsidR="000E6F8F" w:rsidRPr="00D34EBC" w:rsidRDefault="000E6F8F" w:rsidP="080F9736">
      <w:pPr>
        <w:pStyle w:val="ListParagraph"/>
        <w:numPr>
          <w:ilvl w:val="0"/>
          <w:numId w:val="2"/>
        </w:numPr>
        <w:rPr>
          <w:i/>
          <w:iCs/>
        </w:rPr>
      </w:pPr>
      <w:r w:rsidRPr="080F9736">
        <w:rPr>
          <w:i/>
          <w:iCs/>
        </w:rPr>
        <w:t xml:space="preserve">Organisational </w:t>
      </w:r>
      <w:r w:rsidR="1507D05D" w:rsidRPr="080F9736">
        <w:rPr>
          <w:i/>
          <w:iCs/>
        </w:rPr>
        <w:t xml:space="preserve">and </w:t>
      </w:r>
      <w:r w:rsidRPr="080F9736">
        <w:rPr>
          <w:i/>
          <w:iCs/>
        </w:rPr>
        <w:t>Service Model Changes</w:t>
      </w:r>
    </w:p>
    <w:p w14:paraId="66EA520F" w14:textId="7EE74B95" w:rsidR="00CF6B7B" w:rsidRDefault="00CF6B7B" w:rsidP="00CF6B7B">
      <w:pPr>
        <w:pStyle w:val="ListParagraph"/>
        <w:numPr>
          <w:ilvl w:val="1"/>
          <w:numId w:val="2"/>
        </w:numPr>
      </w:pPr>
      <w:r>
        <w:t>54 responses</w:t>
      </w:r>
      <w:r w:rsidR="00E05928">
        <w:t xml:space="preserve"> to the survey were received</w:t>
      </w:r>
      <w:r w:rsidR="00E560A8">
        <w:t>.</w:t>
      </w:r>
    </w:p>
    <w:p w14:paraId="2E6F8FCD" w14:textId="57F02CE4" w:rsidR="00E560A8" w:rsidRDefault="003917B8" w:rsidP="00CF6B7B">
      <w:pPr>
        <w:pStyle w:val="ListParagraph"/>
        <w:numPr>
          <w:ilvl w:val="1"/>
          <w:numId w:val="2"/>
        </w:numPr>
      </w:pPr>
      <w:r>
        <w:t>Respondents were able to select more than one option when describing the service adaptations due to the lockdown restrictions from 23</w:t>
      </w:r>
      <w:r w:rsidRPr="080F9736">
        <w:rPr>
          <w:vertAlign w:val="superscript"/>
        </w:rPr>
        <w:t>rd</w:t>
      </w:r>
      <w:r>
        <w:t xml:space="preserve"> March 2020</w:t>
      </w:r>
      <w:r w:rsidR="7B9FB863">
        <w:t xml:space="preserve">. </w:t>
      </w:r>
      <w:r>
        <w:t xml:space="preserve"> 27 of the responding organisations ha</w:t>
      </w:r>
      <w:r w:rsidR="07338E09">
        <w:t>d</w:t>
      </w:r>
      <w:r>
        <w:t xml:space="preserve"> provided new services during the Covid-19 pandemic </w:t>
      </w:r>
      <w:r w:rsidR="14748A89">
        <w:t xml:space="preserve">and </w:t>
      </w:r>
      <w:r>
        <w:t xml:space="preserve">42 </w:t>
      </w:r>
      <w:r w:rsidR="42E45E25">
        <w:t xml:space="preserve">had </w:t>
      </w:r>
      <w:r>
        <w:t xml:space="preserve">adapted </w:t>
      </w:r>
      <w:r w:rsidR="71FFBF19">
        <w:t xml:space="preserve">their </w:t>
      </w:r>
      <w:r>
        <w:t xml:space="preserve">services . </w:t>
      </w:r>
    </w:p>
    <w:p w14:paraId="2969B5D8" w14:textId="726C8B2E" w:rsidR="00E560A8" w:rsidRDefault="003917B8" w:rsidP="080F9736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2 </w:t>
      </w:r>
      <w:r w:rsidR="000E6F8F">
        <w:t>respons</w:t>
      </w:r>
      <w:r w:rsidR="09D0A1D8">
        <w:t>es were from</w:t>
      </w:r>
      <w:r>
        <w:t xml:space="preserve"> were new organisation</w:t>
      </w:r>
      <w:r w:rsidR="00181E79">
        <w:t>s</w:t>
      </w:r>
      <w:r>
        <w:t xml:space="preserve"> that ha</w:t>
      </w:r>
      <w:r w:rsidR="1C17F780">
        <w:t>d</w:t>
      </w:r>
      <w:r>
        <w:t xml:space="preserve"> formed </w:t>
      </w:r>
      <w:r w:rsidR="201597F7">
        <w:t xml:space="preserve">during </w:t>
      </w:r>
      <w:r>
        <w:t>the pandemic</w:t>
      </w:r>
      <w:r w:rsidR="000E6F8F">
        <w:t xml:space="preserve"> and only 3 </w:t>
      </w:r>
      <w:r w:rsidR="019C8467">
        <w:t xml:space="preserve">respondents </w:t>
      </w:r>
      <w:r w:rsidR="00181E79">
        <w:t xml:space="preserve">stated that </w:t>
      </w:r>
      <w:r w:rsidR="000E6F8F">
        <w:t>the</w:t>
      </w:r>
      <w:r w:rsidR="5A253894">
        <w:t>ir services</w:t>
      </w:r>
      <w:r w:rsidR="000E6F8F">
        <w:t xml:space="preserve"> have not significantly changed. </w:t>
      </w:r>
    </w:p>
    <w:p w14:paraId="63271398" w14:textId="77777777" w:rsidR="000E6F8F" w:rsidRDefault="000E6F8F" w:rsidP="000E6F8F">
      <w:pPr>
        <w:pStyle w:val="ListParagraph"/>
        <w:ind w:left="792"/>
      </w:pPr>
    </w:p>
    <w:p w14:paraId="2E35F8C2" w14:textId="351C6F68" w:rsidR="000E6F8F" w:rsidRPr="00D34EBC" w:rsidRDefault="000E6F8F" w:rsidP="000E6F8F">
      <w:pPr>
        <w:pStyle w:val="ListParagraph"/>
        <w:numPr>
          <w:ilvl w:val="0"/>
          <w:numId w:val="2"/>
        </w:numPr>
        <w:rPr>
          <w:i/>
          <w:iCs/>
        </w:rPr>
      </w:pPr>
      <w:r w:rsidRPr="00D34EBC">
        <w:rPr>
          <w:i/>
          <w:iCs/>
        </w:rPr>
        <w:t>Geographical area(s) supported</w:t>
      </w:r>
    </w:p>
    <w:p w14:paraId="1EEAAB3F" w14:textId="60E6A9F5" w:rsidR="000E6F8F" w:rsidRDefault="000E6F8F" w:rsidP="000E6F8F">
      <w:pPr>
        <w:pStyle w:val="ListParagraph"/>
        <w:numPr>
          <w:ilvl w:val="1"/>
          <w:numId w:val="2"/>
        </w:numPr>
      </w:pPr>
      <w:r>
        <w:t xml:space="preserve">Many organisations worked across </w:t>
      </w:r>
      <w:r w:rsidR="2BA60779">
        <w:t>multiple</w:t>
      </w:r>
      <w:r>
        <w:t xml:space="preserve"> wards in the borough, with half </w:t>
      </w:r>
      <w:r w:rsidR="00CB644B">
        <w:t xml:space="preserve">(51%) </w:t>
      </w:r>
      <w:r>
        <w:t xml:space="preserve">supporting the whole borough / all wards. </w:t>
      </w:r>
    </w:p>
    <w:p w14:paraId="1BFB1B8B" w14:textId="45B50570" w:rsidR="002E2FF2" w:rsidRDefault="00E91859" w:rsidP="080F9736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4 out of the 5 wards </w:t>
      </w:r>
      <w:r w:rsidR="059FD46D">
        <w:t xml:space="preserve">with the lowest </w:t>
      </w:r>
      <w:r w:rsidR="1AFAB02E">
        <w:t>number of geographically target</w:t>
      </w:r>
      <w:r w:rsidR="43156D05">
        <w:t xml:space="preserve">ed support providers </w:t>
      </w:r>
      <w:r>
        <w:t xml:space="preserve">were to be found in </w:t>
      </w:r>
      <w:r w:rsidR="7B748CB3">
        <w:t xml:space="preserve">the </w:t>
      </w:r>
      <w:r>
        <w:t>Tooting</w:t>
      </w:r>
      <w:r w:rsidR="21CEDFE2">
        <w:t xml:space="preserve"> constituency</w:t>
      </w:r>
      <w:r>
        <w:t xml:space="preserve">. </w:t>
      </w:r>
      <w:r w:rsidR="00AF32CD">
        <w:t xml:space="preserve">s Fairfield ward </w:t>
      </w:r>
      <w:r w:rsidR="2DF6147D">
        <w:t xml:space="preserve">was </w:t>
      </w:r>
      <w:r w:rsidR="00AF32CD">
        <w:t xml:space="preserve">the only other ward not </w:t>
      </w:r>
      <w:r w:rsidR="0B199058">
        <w:t>to have</w:t>
      </w:r>
      <w:r w:rsidR="00AF32CD">
        <w:t xml:space="preserve"> an</w:t>
      </w:r>
      <w:r w:rsidR="3B2F6741">
        <w:t>y</w:t>
      </w:r>
      <w:r w:rsidR="00AF32CD">
        <w:t xml:space="preserve"> organisation say </w:t>
      </w:r>
      <w:r w:rsidR="16B12466">
        <w:t xml:space="preserve">specifically </w:t>
      </w:r>
      <w:r w:rsidR="534124F8">
        <w:t xml:space="preserve">that </w:t>
      </w:r>
      <w:r w:rsidR="00AF32CD">
        <w:t xml:space="preserve">they were supporting it. </w:t>
      </w:r>
    </w:p>
    <w:p w14:paraId="453C6E2E" w14:textId="5A847EF7" w:rsidR="008B2007" w:rsidRDefault="008B2007" w:rsidP="008B2007">
      <w:pPr>
        <w:pStyle w:val="ListParagraph"/>
        <w:ind w:left="792"/>
      </w:pPr>
    </w:p>
    <w:p w14:paraId="56606AEC" w14:textId="030E882F" w:rsidR="008B2007" w:rsidRPr="00D34EBC" w:rsidRDefault="008B2007" w:rsidP="008B2007">
      <w:pPr>
        <w:pStyle w:val="ListParagraph"/>
        <w:numPr>
          <w:ilvl w:val="0"/>
          <w:numId w:val="2"/>
        </w:numPr>
        <w:rPr>
          <w:i/>
          <w:iCs/>
        </w:rPr>
      </w:pPr>
      <w:r w:rsidRPr="00D34EBC">
        <w:rPr>
          <w:i/>
          <w:iCs/>
        </w:rPr>
        <w:t xml:space="preserve">Covid-19 related services </w:t>
      </w:r>
    </w:p>
    <w:p w14:paraId="690B718D" w14:textId="247E6D7F" w:rsidR="00D34EBC" w:rsidRDefault="07F23CFE" w:rsidP="00D34EBC">
      <w:pPr>
        <w:pStyle w:val="ListParagraph"/>
        <w:numPr>
          <w:ilvl w:val="1"/>
          <w:numId w:val="2"/>
        </w:numPr>
      </w:pPr>
      <w:r>
        <w:t xml:space="preserve">The </w:t>
      </w:r>
      <w:r w:rsidR="7CA7CFB8">
        <w:t xml:space="preserve">top </w:t>
      </w:r>
      <w:r w:rsidR="42D94E76">
        <w:t>4</w:t>
      </w:r>
      <w:r w:rsidR="7CA7CFB8">
        <w:t xml:space="preserve"> most </w:t>
      </w:r>
      <w:r>
        <w:t xml:space="preserve">common form of support offered </w:t>
      </w:r>
      <w:r w:rsidR="7CA7CFB8">
        <w:t>were</w:t>
      </w:r>
      <w:r w:rsidR="42D94E76">
        <w:t xml:space="preserve"> </w:t>
      </w:r>
      <w:r w:rsidR="4D51D0D4">
        <w:t>e</w:t>
      </w:r>
      <w:r w:rsidR="79D4F84B">
        <w:t xml:space="preserve">motional support / befriending, </w:t>
      </w:r>
      <w:r w:rsidR="5A6B2640">
        <w:t>o</w:t>
      </w:r>
      <w:r w:rsidR="79D4F84B">
        <w:t>nline / telephone exercise classes</w:t>
      </w:r>
      <w:r w:rsidR="42D94E76">
        <w:t>,</w:t>
      </w:r>
      <w:r w:rsidR="79D4F84B">
        <w:t xml:space="preserve"> </w:t>
      </w:r>
      <w:r w:rsidR="5A6B2640">
        <w:t>t</w:t>
      </w:r>
      <w:r w:rsidR="79D4F84B">
        <w:t xml:space="preserve">echnology support such as video </w:t>
      </w:r>
      <w:r w:rsidR="4D51D0D4">
        <w:t>calling</w:t>
      </w:r>
      <w:r w:rsidR="2AE2F7D3">
        <w:t>,</w:t>
      </w:r>
      <w:r w:rsidR="4D51D0D4">
        <w:t xml:space="preserve"> and</w:t>
      </w:r>
      <w:r w:rsidR="42D94E76">
        <w:t xml:space="preserve"> </w:t>
      </w:r>
      <w:r w:rsidR="5A6B2640">
        <w:t>f</w:t>
      </w:r>
      <w:r w:rsidR="67499AC3">
        <w:t xml:space="preserve">ree food parcels. </w:t>
      </w:r>
    </w:p>
    <w:p w14:paraId="3347A295" w14:textId="77777777" w:rsidR="00D34EBC" w:rsidRDefault="00D34EBC" w:rsidP="00D34EBC">
      <w:pPr>
        <w:pStyle w:val="ListParagraph"/>
        <w:ind w:left="792"/>
      </w:pPr>
    </w:p>
    <w:p w14:paraId="7C615DAB" w14:textId="18D1C4A5" w:rsidR="00D34EBC" w:rsidRPr="00D34EBC" w:rsidRDefault="00D34EBC" w:rsidP="00D34EBC">
      <w:pPr>
        <w:pStyle w:val="ListParagraph"/>
        <w:numPr>
          <w:ilvl w:val="0"/>
          <w:numId w:val="2"/>
        </w:numPr>
        <w:rPr>
          <w:i/>
          <w:iCs/>
        </w:rPr>
      </w:pPr>
      <w:r w:rsidRPr="00D34EBC">
        <w:rPr>
          <w:i/>
          <w:iCs/>
        </w:rPr>
        <w:t xml:space="preserve">Reason(s) for people needing the Covid-19 related services. </w:t>
      </w:r>
    </w:p>
    <w:p w14:paraId="564220A6" w14:textId="43AF5C54" w:rsidR="746CF160" w:rsidRDefault="746CF160" w:rsidP="080F9736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The following graph shows the reasons cited by organisations for people requiring the Covid-19 services they were providing.  Respondents were able to select more than one reason.  </w:t>
      </w:r>
    </w:p>
    <w:p w14:paraId="500D35F5" w14:textId="77777777" w:rsidR="00D34EBC" w:rsidRDefault="00D34EBC" w:rsidP="00D34EBC">
      <w:pPr>
        <w:pStyle w:val="ListParagraph"/>
        <w:ind w:left="1224"/>
      </w:pPr>
    </w:p>
    <w:p w14:paraId="6784C981" w14:textId="7D5609CF" w:rsidR="00524553" w:rsidRDefault="000B567C" w:rsidP="00D34EBC">
      <w:pPr>
        <w:ind w:left="360"/>
      </w:pPr>
      <w:r>
        <w:rPr>
          <w:noProof/>
        </w:rPr>
        <w:lastRenderedPageBreak/>
        <w:drawing>
          <wp:inline distT="0" distB="0" distL="0" distR="0" wp14:anchorId="09C26F4C" wp14:editId="7B6CE740">
            <wp:extent cx="5715000" cy="24193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A10A370-510B-46E0-8532-606A4E263F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93E20C" w14:textId="0987B50D" w:rsidR="000B567C" w:rsidRDefault="2D51B5D6" w:rsidP="080F9736">
      <w:pPr>
        <w:pStyle w:val="ListParagraph"/>
        <w:numPr>
          <w:ilvl w:val="1"/>
          <w:numId w:val="2"/>
        </w:numPr>
      </w:pPr>
      <w:r>
        <w:t>It will be noted that the most common reasons for needing support w</w:t>
      </w:r>
      <w:r w:rsidR="7CFA5C78">
        <w:t>as</w:t>
      </w:r>
      <w:r>
        <w:t xml:space="preserve"> shielding </w:t>
      </w:r>
      <w:r w:rsidR="0AA6A73B">
        <w:t>(66%), but this was followed by financial difficulties (58%)</w:t>
      </w:r>
      <w:r>
        <w:t>.</w:t>
      </w:r>
    </w:p>
    <w:p w14:paraId="6EFFAF59" w14:textId="188C21C3" w:rsidR="000B567C" w:rsidRDefault="000B567C" w:rsidP="000B567C">
      <w:pPr>
        <w:pStyle w:val="ListParagraph"/>
        <w:ind w:left="360"/>
      </w:pPr>
    </w:p>
    <w:p w14:paraId="68BFAEFF" w14:textId="455886B3" w:rsidR="00D34EBC" w:rsidRDefault="00D34EBC" w:rsidP="00652B94">
      <w:pPr>
        <w:pStyle w:val="ListParagraph"/>
        <w:numPr>
          <w:ilvl w:val="0"/>
          <w:numId w:val="2"/>
        </w:numPr>
      </w:pPr>
      <w:r w:rsidRPr="080F9736">
        <w:rPr>
          <w:i/>
          <w:iCs/>
        </w:rPr>
        <w:t>Numbers supported</w:t>
      </w:r>
    </w:p>
    <w:p w14:paraId="0339BA77" w14:textId="7B5DFC62" w:rsidR="00022CFD" w:rsidRDefault="00A66140" w:rsidP="004E25B9">
      <w:pPr>
        <w:pStyle w:val="ListParagraph"/>
        <w:numPr>
          <w:ilvl w:val="1"/>
          <w:numId w:val="2"/>
        </w:numPr>
      </w:pPr>
      <w:r>
        <w:t>According to the 54 responses, a</w:t>
      </w:r>
      <w:r w:rsidR="00DB28EE">
        <w:t xml:space="preserve"> minimum of </w:t>
      </w:r>
      <w:r w:rsidR="00DB28EE" w:rsidRPr="080F9736">
        <w:rPr>
          <w:b/>
          <w:bCs/>
        </w:rPr>
        <w:t>12,037</w:t>
      </w:r>
      <w:r w:rsidR="00DB28EE">
        <w:t xml:space="preserve"> </w:t>
      </w:r>
      <w:r w:rsidR="0099284B">
        <w:t>individual Wandsworth residents have been supported with Covid-19 related services since they commenced</w:t>
      </w:r>
      <w:r w:rsidR="00D91C81">
        <w:t>.</w:t>
      </w:r>
      <w:r w:rsidR="002B6768">
        <w:t xml:space="preserve"> </w:t>
      </w:r>
      <w:r w:rsidR="00D91C81">
        <w:t xml:space="preserve"> This is</w:t>
      </w:r>
      <w:r w:rsidR="0099284B">
        <w:t xml:space="preserve"> </w:t>
      </w:r>
      <w:r w:rsidR="00D91C81">
        <w:t>b</w:t>
      </w:r>
      <w:r w:rsidR="00432DCE">
        <w:t xml:space="preserve">ased on </w:t>
      </w:r>
      <w:r w:rsidR="00412631">
        <w:t>each</w:t>
      </w:r>
      <w:r w:rsidR="00D677FA">
        <w:t xml:space="preserve"> organisation </w:t>
      </w:r>
      <w:r w:rsidR="00013D0D">
        <w:t xml:space="preserve">having </w:t>
      </w:r>
      <w:r w:rsidR="00D677FA">
        <w:t>hel</w:t>
      </w:r>
      <w:r w:rsidR="00DD5364">
        <w:t>p</w:t>
      </w:r>
      <w:r w:rsidR="00013D0D">
        <w:t>ed</w:t>
      </w:r>
      <w:r w:rsidR="00D677FA">
        <w:t xml:space="preserve"> the minimum</w:t>
      </w:r>
      <w:r w:rsidR="008873B7">
        <w:t xml:space="preserve"> number of clients in the</w:t>
      </w:r>
      <w:r w:rsidR="00777710">
        <w:t xml:space="preserve"> </w:t>
      </w:r>
      <w:r w:rsidR="00412631">
        <w:t>pre</w:t>
      </w:r>
      <w:r w:rsidR="00D34EBC">
        <w:t>-</w:t>
      </w:r>
      <w:r w:rsidR="00412631">
        <w:t>fixed category</w:t>
      </w:r>
      <w:r w:rsidR="002B6768">
        <w:t xml:space="preserve"> </w:t>
      </w:r>
      <w:r w:rsidR="00777710">
        <w:t xml:space="preserve">range for the </w:t>
      </w:r>
      <w:r w:rsidR="00205473">
        <w:t>question,</w:t>
      </w:r>
      <w:r w:rsidR="00D34EBC">
        <w:t xml:space="preserve"> so it is likely that the actual number helped is </w:t>
      </w:r>
      <w:r w:rsidR="20BFA7AC">
        <w:t xml:space="preserve">in excess of 20,000, and possibly up to </w:t>
      </w:r>
      <w:r w:rsidR="00D34EBC" w:rsidRPr="080F9736">
        <w:rPr>
          <w:b/>
          <w:bCs/>
        </w:rPr>
        <w:t>33,550</w:t>
      </w:r>
    </w:p>
    <w:p w14:paraId="1455AFDE" w14:textId="1BE63A99" w:rsidR="00022CFD" w:rsidRDefault="00022CFD" w:rsidP="080F9736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7</w:t>
      </w:r>
      <w:r w:rsidR="00055F17">
        <w:t xml:space="preserve"> respondents</w:t>
      </w:r>
      <w:r>
        <w:t xml:space="preserve"> </w:t>
      </w:r>
      <w:r w:rsidR="05D698AB">
        <w:t xml:space="preserve">(13%) </w:t>
      </w:r>
      <w:r>
        <w:t>have helped in excess of 1000 individuals</w:t>
      </w:r>
      <w:r w:rsidR="00055F17">
        <w:t xml:space="preserve"> each</w:t>
      </w:r>
      <w:r w:rsidR="007445C1">
        <w:t xml:space="preserve"> since the</w:t>
      </w:r>
      <w:r w:rsidR="01F86D94">
        <w:t xml:space="preserve"> pandemic</w:t>
      </w:r>
      <w:r w:rsidR="007445C1">
        <w:t xml:space="preserve"> commenced</w:t>
      </w:r>
      <w:r w:rsidR="00055F17">
        <w:t>.</w:t>
      </w:r>
    </w:p>
    <w:p w14:paraId="4F191167" w14:textId="70D49C15" w:rsidR="009A53D5" w:rsidRDefault="00022CFD" w:rsidP="009A53D5">
      <w:pPr>
        <w:pStyle w:val="ListParagraph"/>
        <w:numPr>
          <w:ilvl w:val="1"/>
          <w:numId w:val="2"/>
        </w:numPr>
      </w:pPr>
      <w:r>
        <w:t>22% of the organisations are</w:t>
      </w:r>
      <w:r w:rsidR="00A451FB">
        <w:t xml:space="preserve"> currently</w:t>
      </w:r>
      <w:r>
        <w:t xml:space="preserve"> helping over 100 Wandsworth residents a week </w:t>
      </w:r>
    </w:p>
    <w:p w14:paraId="2774BC54" w14:textId="77777777" w:rsidR="009A53D5" w:rsidRDefault="009A53D5" w:rsidP="009A53D5">
      <w:pPr>
        <w:pStyle w:val="ListParagraph"/>
        <w:ind w:left="792"/>
      </w:pPr>
    </w:p>
    <w:p w14:paraId="76237478" w14:textId="0BA7BBB6" w:rsidR="009A53D5" w:rsidRPr="009A53D5" w:rsidRDefault="009A53D5" w:rsidP="080F9736">
      <w:pPr>
        <w:pStyle w:val="ListParagraph"/>
        <w:numPr>
          <w:ilvl w:val="0"/>
          <w:numId w:val="2"/>
        </w:numPr>
        <w:rPr>
          <w:i/>
          <w:iCs/>
        </w:rPr>
      </w:pPr>
      <w:r w:rsidRPr="080F9736">
        <w:rPr>
          <w:i/>
          <w:iCs/>
        </w:rPr>
        <w:t xml:space="preserve">Trends in demand </w:t>
      </w:r>
    </w:p>
    <w:p w14:paraId="6BB2025F" w14:textId="07E2B7F5" w:rsidR="00702717" w:rsidRDefault="0028607D" w:rsidP="009A53D5">
      <w:pPr>
        <w:pStyle w:val="ListParagraph"/>
        <w:numPr>
          <w:ilvl w:val="1"/>
          <w:numId w:val="2"/>
        </w:numPr>
      </w:pPr>
      <w:r>
        <w:t xml:space="preserve">43% </w:t>
      </w:r>
      <w:r w:rsidR="00C563D3">
        <w:t xml:space="preserve">say the </w:t>
      </w:r>
      <w:r>
        <w:t xml:space="preserve">number of Wandsworth residents </w:t>
      </w:r>
      <w:r w:rsidR="00C563D3">
        <w:t>they</w:t>
      </w:r>
      <w:r>
        <w:t xml:space="preserve"> are supporting each week is currently remaining steady</w:t>
      </w:r>
      <w:r w:rsidR="00504721">
        <w:t xml:space="preserve">. </w:t>
      </w:r>
      <w:r w:rsidR="00887C18" w:rsidRPr="080F9736">
        <w:rPr>
          <w:rStyle w:val="CommentReference"/>
        </w:rPr>
        <w:t xml:space="preserve"> </w:t>
      </w:r>
      <w:r w:rsidR="00504721">
        <w:rPr>
          <w:rStyle w:val="CommentReference"/>
          <w:sz w:val="22"/>
          <w:szCs w:val="22"/>
        </w:rPr>
        <w:t>H</w:t>
      </w:r>
      <w:r w:rsidR="00702717" w:rsidRPr="080F9736">
        <w:rPr>
          <w:rStyle w:val="CommentReference"/>
          <w:sz w:val="22"/>
          <w:szCs w:val="22"/>
        </w:rPr>
        <w:t xml:space="preserve">owever there </w:t>
      </w:r>
      <w:r w:rsidR="006F4586" w:rsidRPr="080F9736">
        <w:rPr>
          <w:rStyle w:val="CommentReference"/>
          <w:sz w:val="22"/>
          <w:szCs w:val="22"/>
        </w:rPr>
        <w:t>are</w:t>
      </w:r>
      <w:r w:rsidR="006F4586" w:rsidRPr="080F9736">
        <w:rPr>
          <w:rStyle w:val="CommentReference"/>
        </w:rPr>
        <w:t xml:space="preserve"> </w:t>
      </w:r>
      <w:r w:rsidR="00A22A8E">
        <w:t>broadly</w:t>
      </w:r>
      <w:r w:rsidR="00606E27">
        <w:t xml:space="preserve"> equal numbers of </w:t>
      </w:r>
      <w:r w:rsidR="00E75868">
        <w:t>respondents</w:t>
      </w:r>
      <w:r w:rsidR="00606E27">
        <w:t xml:space="preserve"> that </w:t>
      </w:r>
      <w:r w:rsidR="00081586">
        <w:t xml:space="preserve">would say the number of Wandsworth residents </w:t>
      </w:r>
      <w:r w:rsidR="00A22A8E">
        <w:t xml:space="preserve">being </w:t>
      </w:r>
      <w:r w:rsidR="00081586">
        <w:t>support</w:t>
      </w:r>
      <w:r w:rsidR="00A22A8E">
        <w:t>ed</w:t>
      </w:r>
      <w:r w:rsidR="00081586">
        <w:t xml:space="preserve"> each week is currently decreasing</w:t>
      </w:r>
      <w:r w:rsidR="00C8115E">
        <w:t xml:space="preserve"> (30%)</w:t>
      </w:r>
      <w:r w:rsidR="000600B5">
        <w:t xml:space="preserve"> compared with</w:t>
      </w:r>
      <w:r w:rsidR="00081586">
        <w:t xml:space="preserve"> increasing</w:t>
      </w:r>
      <w:r w:rsidR="00C8115E">
        <w:t xml:space="preserve"> (28%)</w:t>
      </w:r>
      <w:r w:rsidR="000600B5">
        <w:t xml:space="preserve">. </w:t>
      </w:r>
      <w:r w:rsidR="00B45E64">
        <w:t xml:space="preserve">Further analysis of the raw data is needed to understand the support being offered </w:t>
      </w:r>
      <w:r w:rsidR="00EB49B2">
        <w:t xml:space="preserve">within these areas. </w:t>
      </w:r>
    </w:p>
    <w:p w14:paraId="7EDDA18F" w14:textId="24596811" w:rsidR="00701E85" w:rsidRDefault="00540734" w:rsidP="00887C18">
      <w:pPr>
        <w:pStyle w:val="ListParagraph"/>
        <w:numPr>
          <w:ilvl w:val="1"/>
          <w:numId w:val="2"/>
        </w:numPr>
      </w:pPr>
      <w:r>
        <w:t xml:space="preserve">17% of organisations </w:t>
      </w:r>
      <w:r w:rsidR="00EB49B2">
        <w:t>say</w:t>
      </w:r>
      <w:r>
        <w:t xml:space="preserve"> that at least half of the clients being supported </w:t>
      </w:r>
      <w:r w:rsidR="006024D5">
        <w:t>are new clients that they did not have prior to the Covid-19 pandemic.</w:t>
      </w:r>
    </w:p>
    <w:p w14:paraId="609627CE" w14:textId="3E95DE20" w:rsidR="006024D5" w:rsidRDefault="006024D5" w:rsidP="006024D5">
      <w:pPr>
        <w:pStyle w:val="ListParagraph"/>
        <w:ind w:left="360"/>
      </w:pPr>
    </w:p>
    <w:p w14:paraId="02B424DF" w14:textId="4FBB8E82" w:rsidR="00383E94" w:rsidRPr="00383E94" w:rsidRDefault="00297BF7" w:rsidP="0053675E">
      <w:pPr>
        <w:pStyle w:val="ListParagraph"/>
        <w:keepNext/>
        <w:numPr>
          <w:ilvl w:val="0"/>
          <w:numId w:val="2"/>
        </w:numPr>
        <w:ind w:left="357" w:hanging="357"/>
        <w:rPr>
          <w:i/>
          <w:iCs/>
        </w:rPr>
      </w:pPr>
      <w:r w:rsidRPr="080F9736">
        <w:rPr>
          <w:i/>
          <w:iCs/>
        </w:rPr>
        <w:lastRenderedPageBreak/>
        <w:t xml:space="preserve">Household types being supported </w:t>
      </w:r>
    </w:p>
    <w:p w14:paraId="0030A5EC" w14:textId="4D003D8E" w:rsidR="00383E94" w:rsidRPr="00383E94" w:rsidRDefault="00383E94" w:rsidP="080F9736">
      <w:pPr>
        <w:pStyle w:val="ListParagraph"/>
        <w:numPr>
          <w:ilvl w:val="1"/>
          <w:numId w:val="2"/>
        </w:numPr>
      </w:pPr>
      <w:r w:rsidRPr="080F9736">
        <w:t>The table below sets out the number of respondents who said that their services were supporting particular household types.  Respondents were able to select more than one option</w:t>
      </w:r>
      <w:r w:rsidR="4795DBE0" w:rsidRPr="080F9736">
        <w:rPr>
          <w:i/>
          <w:iCs/>
        </w:rPr>
        <w:t>.</w:t>
      </w:r>
      <w:r w:rsidRPr="080F9736">
        <w:rPr>
          <w:i/>
          <w:iCs/>
        </w:rPr>
        <w:t xml:space="preserve"> </w:t>
      </w:r>
    </w:p>
    <w:tbl>
      <w:tblPr>
        <w:tblpPr w:leftFromText="180" w:rightFromText="180" w:vertAnchor="text" w:horzAnchor="page" w:tblpX="2221" w:tblpYSpec="center"/>
        <w:tblW w:w="9280" w:type="dxa"/>
        <w:tblLook w:val="04A0" w:firstRow="1" w:lastRow="0" w:firstColumn="1" w:lastColumn="0" w:noHBand="0" w:noVBand="1"/>
      </w:tblPr>
      <w:tblGrid>
        <w:gridCol w:w="7700"/>
        <w:gridCol w:w="1580"/>
      </w:tblGrid>
      <w:tr w:rsidR="00383E94" w:rsidRPr="00205FDF" w14:paraId="7BF95418" w14:textId="77777777" w:rsidTr="00383E94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3E4" w14:textId="77777777" w:rsidR="00383E94" w:rsidRPr="00205FDF" w:rsidRDefault="00383E94" w:rsidP="00383E94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TOTAL NUMBER OF RESPONDENTS ANSWERING THIS QUESTION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736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b/>
                <w:bCs/>
                <w:lang w:eastAsia="en-GB"/>
              </w:rPr>
              <w:t>52</w:t>
            </w:r>
          </w:p>
        </w:tc>
      </w:tr>
      <w:tr w:rsidR="00383E94" w:rsidRPr="00205FDF" w14:paraId="569E1691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28FD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Families with children</w:t>
            </w:r>
            <w:r w:rsidRPr="00205FDF">
              <w:rPr>
                <w:rFonts w:ascii="&amp;quot" w:eastAsia="Times New Roman" w:hAnsi="&amp;quo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2695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383E94" w:rsidRPr="00205FDF" w14:paraId="30E4F335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9D02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Individuals of working age</w:t>
            </w:r>
            <w:r w:rsidRPr="00205FDF">
              <w:rPr>
                <w:rFonts w:ascii="&amp;quot" w:eastAsia="Times New Roman" w:hAnsi="&amp;quo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1185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383E94" w:rsidRPr="00205FDF" w14:paraId="4465201C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1490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Couples of working age</w:t>
            </w:r>
            <w:r w:rsidRPr="00205FDF">
              <w:rPr>
                <w:rFonts w:ascii="&amp;quot" w:eastAsia="Times New Roman" w:hAnsi="&amp;quo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D020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383E94" w:rsidRPr="00205FDF" w14:paraId="370BF523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ACC2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Groups of individuals of working age (e.g. a house share)</w:t>
            </w:r>
            <w:r w:rsidRPr="00205FDF">
              <w:rPr>
                <w:rFonts w:ascii="&amp;quot" w:eastAsia="Times New Roman" w:hAnsi="&amp;quo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7F78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383E94" w:rsidRPr="00205FDF" w14:paraId="29DF04D9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11AF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Individuals aged 65+</w:t>
            </w:r>
            <w:r w:rsidRPr="00205FDF">
              <w:rPr>
                <w:rFonts w:ascii="&amp;quot" w:eastAsia="Times New Roman" w:hAnsi="&amp;quo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B5BD6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383E94" w:rsidRPr="00205FDF" w14:paraId="23F27471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9C615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Couples aged 65+</w:t>
            </w:r>
            <w:r w:rsidRPr="00205FDF">
              <w:rPr>
                <w:rFonts w:ascii="&amp;quot" w:eastAsia="Times New Roman" w:hAnsi="&amp;quo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F7E2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383E94" w:rsidRPr="00205FDF" w14:paraId="3E4F065D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D6A3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Groups of individuals aged 65+</w:t>
            </w:r>
            <w:r w:rsidRPr="00205FDF">
              <w:rPr>
                <w:rFonts w:ascii="&amp;quot" w:eastAsia="Times New Roman" w:hAnsi="&amp;quo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FEE9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383E94" w:rsidRPr="00205FDF" w14:paraId="0CB81506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EFD4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Unpaid carers and those they are caring for</w:t>
            </w:r>
            <w:r w:rsidRPr="00205FDF">
              <w:rPr>
                <w:rFonts w:ascii="&amp;quot" w:eastAsia="Times New Roman" w:hAnsi="&amp;quo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9440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383E94" w:rsidRPr="00205FDF" w14:paraId="519F2644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0B3C62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Households including people who are disabled</w:t>
            </w:r>
            <w:r w:rsidRPr="00205FDF">
              <w:rPr>
                <w:rFonts w:ascii="&amp;quot" w:eastAsia="Times New Roman" w:hAnsi="&amp;quot" w:cs="Calibri"/>
                <w:lang w:eastAsia="en-GB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82DBC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FD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383E94" w:rsidRPr="00205FDF" w14:paraId="71A8FE5F" w14:textId="77777777" w:rsidTr="00383E94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10ACE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82D92" w14:textId="77777777" w:rsidR="00383E94" w:rsidRPr="00205FDF" w:rsidRDefault="00383E94" w:rsidP="00383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40C76CD" w14:textId="45BE5635" w:rsidR="00383E94" w:rsidRDefault="00383E94" w:rsidP="00383E94">
      <w:pPr>
        <w:ind w:left="360"/>
        <w:rPr>
          <w:i/>
          <w:iCs/>
        </w:rPr>
      </w:pPr>
    </w:p>
    <w:p w14:paraId="31FE0B7E" w14:textId="7A0BAB40" w:rsidR="00383E94" w:rsidRDefault="00383E94" w:rsidP="00383E94">
      <w:pPr>
        <w:ind w:left="360"/>
        <w:rPr>
          <w:i/>
          <w:iCs/>
        </w:rPr>
      </w:pPr>
    </w:p>
    <w:p w14:paraId="2CB5A538" w14:textId="4F902FA2" w:rsidR="00383E94" w:rsidRDefault="00383E94" w:rsidP="00383E94">
      <w:pPr>
        <w:ind w:left="360"/>
        <w:rPr>
          <w:i/>
          <w:iCs/>
        </w:rPr>
      </w:pPr>
    </w:p>
    <w:p w14:paraId="69802EF8" w14:textId="7596C71E" w:rsidR="00383E94" w:rsidRDefault="00383E94" w:rsidP="00383E94">
      <w:pPr>
        <w:ind w:left="360"/>
        <w:rPr>
          <w:i/>
          <w:iCs/>
        </w:rPr>
      </w:pPr>
    </w:p>
    <w:p w14:paraId="3461C0BC" w14:textId="252BC96F" w:rsidR="00383E94" w:rsidRDefault="00383E94" w:rsidP="00383E94">
      <w:pPr>
        <w:ind w:left="360"/>
        <w:rPr>
          <w:i/>
          <w:iCs/>
        </w:rPr>
      </w:pPr>
    </w:p>
    <w:p w14:paraId="1BDB78B3" w14:textId="4DB2288B" w:rsidR="00383E94" w:rsidRDefault="00383E94" w:rsidP="00383E94">
      <w:pPr>
        <w:ind w:left="360"/>
        <w:rPr>
          <w:i/>
          <w:iCs/>
        </w:rPr>
      </w:pPr>
    </w:p>
    <w:p w14:paraId="46CA3B35" w14:textId="574E2A82" w:rsidR="00383E94" w:rsidRDefault="00383E94" w:rsidP="00383E94">
      <w:pPr>
        <w:ind w:left="360"/>
        <w:rPr>
          <w:i/>
          <w:iCs/>
        </w:rPr>
      </w:pPr>
    </w:p>
    <w:p w14:paraId="6CC1974A" w14:textId="77777777" w:rsidR="00383E94" w:rsidRPr="00383E94" w:rsidRDefault="00383E94" w:rsidP="00383E94">
      <w:pPr>
        <w:ind w:left="360"/>
        <w:rPr>
          <w:i/>
          <w:iCs/>
        </w:rPr>
      </w:pPr>
    </w:p>
    <w:p w14:paraId="72118F47" w14:textId="77777777" w:rsidR="00D17712" w:rsidRPr="00961B90" w:rsidRDefault="00D17712" w:rsidP="00D17712">
      <w:pPr>
        <w:pStyle w:val="ListParagraph"/>
        <w:numPr>
          <w:ilvl w:val="0"/>
          <w:numId w:val="2"/>
        </w:numPr>
      </w:pPr>
      <w:r w:rsidRPr="080F9736">
        <w:rPr>
          <w:i/>
          <w:iCs/>
        </w:rPr>
        <w:t xml:space="preserve">Protected characteristics </w:t>
      </w:r>
    </w:p>
    <w:p w14:paraId="49147AEF" w14:textId="62733102" w:rsidR="00381552" w:rsidRPr="00297BF7" w:rsidRDefault="00381552" w:rsidP="080F9736">
      <w:pPr>
        <w:pStyle w:val="ListParagraph"/>
        <w:numPr>
          <w:ilvl w:val="1"/>
          <w:numId w:val="2"/>
        </w:numPr>
        <w:rPr>
          <w:i/>
          <w:iCs/>
        </w:rPr>
      </w:pPr>
      <w:r>
        <w:t>55% of</w:t>
      </w:r>
      <w:r w:rsidR="00104E00">
        <w:t xml:space="preserve"> the respondents </w:t>
      </w:r>
      <w:r w:rsidR="00AB1C60">
        <w:t xml:space="preserve">answered that their </w:t>
      </w:r>
      <w:r w:rsidR="00104E00">
        <w:t xml:space="preserve">Covid-19 related </w:t>
      </w:r>
      <w:r>
        <w:t xml:space="preserve">services support </w:t>
      </w:r>
      <w:r w:rsidR="001F1A77">
        <w:t xml:space="preserve">people with </w:t>
      </w:r>
      <w:r w:rsidR="00104E00">
        <w:t>a</w:t>
      </w:r>
      <w:r>
        <w:t xml:space="preserve"> specific protected characteristic</w:t>
      </w:r>
      <w:r w:rsidR="001F1A77">
        <w:t xml:space="preserve"> under the Equality Act</w:t>
      </w:r>
      <w:r w:rsidR="0090682C">
        <w:t xml:space="preserve">. </w:t>
      </w:r>
    </w:p>
    <w:p w14:paraId="6F590C1C" w14:textId="2A343BFE" w:rsidR="00383E94" w:rsidRDefault="0007373A" w:rsidP="00383E94">
      <w:pPr>
        <w:pStyle w:val="ListParagraph"/>
        <w:numPr>
          <w:ilvl w:val="1"/>
          <w:numId w:val="2"/>
        </w:numPr>
      </w:pPr>
      <w:r>
        <w:t xml:space="preserve">The 3 characteristics </w:t>
      </w:r>
      <w:r w:rsidR="00DA76EE">
        <w:t xml:space="preserve">most often </w:t>
      </w:r>
      <w:r>
        <w:t xml:space="preserve">cited </w:t>
      </w:r>
      <w:r w:rsidR="00DA76EE">
        <w:t>were</w:t>
      </w:r>
      <w:r>
        <w:t xml:space="preserve"> Disability, </w:t>
      </w:r>
      <w:r w:rsidR="002A2A39">
        <w:t>Race</w:t>
      </w:r>
      <w:r>
        <w:t xml:space="preserve">, </w:t>
      </w:r>
      <w:r w:rsidR="00DA76EE">
        <w:t xml:space="preserve">and </w:t>
      </w:r>
      <w:r>
        <w:t xml:space="preserve">Age. </w:t>
      </w:r>
    </w:p>
    <w:p w14:paraId="6DD5E6E9" w14:textId="77777777" w:rsidR="006D1A5E" w:rsidRDefault="00974ED9" w:rsidP="006D1A5E">
      <w:pPr>
        <w:pStyle w:val="ListParagraph"/>
        <w:numPr>
          <w:ilvl w:val="1"/>
          <w:numId w:val="2"/>
        </w:numPr>
      </w:pPr>
      <w:r>
        <w:t xml:space="preserve">Those aged 65+ were the most supported client group </w:t>
      </w:r>
    </w:p>
    <w:p w14:paraId="1744B748" w14:textId="77777777" w:rsidR="00A156E2" w:rsidRDefault="00A156E2" w:rsidP="00A156E2">
      <w:pPr>
        <w:pStyle w:val="ListParagraph"/>
        <w:ind w:left="792"/>
      </w:pPr>
    </w:p>
    <w:p w14:paraId="276D5AA8" w14:textId="77777777" w:rsidR="00DE6004" w:rsidRDefault="006D1A5E" w:rsidP="080F9736">
      <w:pPr>
        <w:pStyle w:val="ListParagraph"/>
        <w:numPr>
          <w:ilvl w:val="0"/>
          <w:numId w:val="2"/>
        </w:numPr>
        <w:rPr>
          <w:i/>
          <w:iCs/>
        </w:rPr>
      </w:pPr>
      <w:r w:rsidRPr="080F9736">
        <w:rPr>
          <w:i/>
          <w:iCs/>
        </w:rPr>
        <w:t>Unmet Need</w:t>
      </w:r>
    </w:p>
    <w:p w14:paraId="6C1F301D" w14:textId="77777777" w:rsidR="00565FD7" w:rsidRPr="006D58E5" w:rsidRDefault="006D1A5E" w:rsidP="006D58E5">
      <w:pPr>
        <w:pStyle w:val="ListParagraph"/>
        <w:numPr>
          <w:ilvl w:val="1"/>
          <w:numId w:val="2"/>
        </w:numPr>
      </w:pPr>
      <w:r>
        <w:t xml:space="preserve">27 respondents identified Covid19-related needs amongst their clients that was felt to not be met by local services. </w:t>
      </w:r>
    </w:p>
    <w:p w14:paraId="1EEC5815" w14:textId="1A944D28" w:rsidR="00565FD7" w:rsidRPr="006D58E5" w:rsidRDefault="006D1A5E" w:rsidP="006D58E5">
      <w:pPr>
        <w:pStyle w:val="ListParagraph"/>
        <w:numPr>
          <w:ilvl w:val="1"/>
          <w:numId w:val="2"/>
        </w:numPr>
      </w:pPr>
      <w:r>
        <w:t xml:space="preserve">The most commonly cited </w:t>
      </w:r>
      <w:r w:rsidR="006D58E5">
        <w:t>were food poverty, digital exclusion / inclusion</w:t>
      </w:r>
      <w:r w:rsidR="000F03F4">
        <w:t xml:space="preserve"> and</w:t>
      </w:r>
      <w:r w:rsidR="006D58E5">
        <w:t xml:space="preserve"> financial hardship</w:t>
      </w:r>
    </w:p>
    <w:p w14:paraId="4410269D" w14:textId="224782D0" w:rsidR="00B51269" w:rsidRDefault="00B51269" w:rsidP="00B51269">
      <w:pPr>
        <w:pStyle w:val="ListParagraph"/>
        <w:ind w:left="360"/>
      </w:pPr>
    </w:p>
    <w:p w14:paraId="60315C19" w14:textId="77777777" w:rsidR="00565FD7" w:rsidRDefault="00565FD7" w:rsidP="080F9736">
      <w:pPr>
        <w:pStyle w:val="ListParagraph"/>
        <w:numPr>
          <w:ilvl w:val="0"/>
          <w:numId w:val="2"/>
        </w:numPr>
        <w:rPr>
          <w:i/>
          <w:iCs/>
        </w:rPr>
      </w:pPr>
      <w:r w:rsidRPr="080F9736">
        <w:rPr>
          <w:i/>
          <w:iCs/>
        </w:rPr>
        <w:t>Safeguarding</w:t>
      </w:r>
    </w:p>
    <w:p w14:paraId="799C1D05" w14:textId="02AA7404" w:rsidR="00565FD7" w:rsidRPr="000F03F4" w:rsidRDefault="00565FD7" w:rsidP="080F9736">
      <w:pPr>
        <w:pStyle w:val="ListParagraph"/>
        <w:numPr>
          <w:ilvl w:val="1"/>
          <w:numId w:val="2"/>
        </w:numPr>
        <w:ind w:left="993" w:hanging="633"/>
      </w:pPr>
      <w:r w:rsidRPr="000F03F4">
        <w:t xml:space="preserve">72% of respondents had staff and volunteers trained to recognise any domestic abuse or safeguarding issues. </w:t>
      </w:r>
    </w:p>
    <w:p w14:paraId="28739C64" w14:textId="0F464798" w:rsidR="00E667B7" w:rsidRDefault="00565FD7" w:rsidP="00E667B7">
      <w:pPr>
        <w:pStyle w:val="ListParagraph"/>
        <w:numPr>
          <w:ilvl w:val="1"/>
          <w:numId w:val="2"/>
        </w:numPr>
        <w:ind w:left="993" w:hanging="633"/>
      </w:pPr>
      <w:r>
        <w:t xml:space="preserve">33% of organisations surveyed had come across clients who have been experiencing domestic abuse or </w:t>
      </w:r>
      <w:r w:rsidR="000F03F4">
        <w:t xml:space="preserve">had </w:t>
      </w:r>
      <w:r>
        <w:t xml:space="preserve">a safeguarding need during this crisis period. </w:t>
      </w:r>
    </w:p>
    <w:p w14:paraId="7B435462" w14:textId="77777777" w:rsidR="00E667B7" w:rsidRPr="00E667B7" w:rsidRDefault="00E667B7" w:rsidP="00E667B7">
      <w:pPr>
        <w:pStyle w:val="ListParagraph"/>
        <w:ind w:left="993"/>
      </w:pPr>
    </w:p>
    <w:p w14:paraId="4D0FE0D8" w14:textId="77777777" w:rsidR="007827E8" w:rsidRDefault="00E667B7" w:rsidP="080F9736">
      <w:pPr>
        <w:pStyle w:val="ListParagraph"/>
        <w:numPr>
          <w:ilvl w:val="0"/>
          <w:numId w:val="2"/>
        </w:numPr>
        <w:rPr>
          <w:i/>
          <w:iCs/>
        </w:rPr>
      </w:pPr>
      <w:r w:rsidRPr="080F9736">
        <w:rPr>
          <w:i/>
          <w:iCs/>
        </w:rPr>
        <w:lastRenderedPageBreak/>
        <w:t xml:space="preserve">Plans for continuation of Covid-19 related services. </w:t>
      </w:r>
    </w:p>
    <w:p w14:paraId="5501A663" w14:textId="0447AEF7" w:rsidR="007827E8" w:rsidRPr="000F03F4" w:rsidRDefault="007827E8" w:rsidP="080F9736">
      <w:pPr>
        <w:pStyle w:val="ListParagraph"/>
        <w:numPr>
          <w:ilvl w:val="1"/>
          <w:numId w:val="2"/>
        </w:numPr>
      </w:pPr>
      <w:r w:rsidRPr="000F03F4">
        <w:t xml:space="preserve">The following table sets out how long organisations anticipate continuing to provide Covid-19 related services. </w:t>
      </w:r>
    </w:p>
    <w:p w14:paraId="63E0688D" w14:textId="5AC7726A" w:rsidR="007827E8" w:rsidRDefault="007827E8" w:rsidP="007827E8">
      <w:pPr>
        <w:rPr>
          <w:i/>
          <w:iCs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ayout w:type="fixed"/>
        <w:tblLook w:val="06A0" w:firstRow="1" w:lastRow="0" w:firstColumn="1" w:lastColumn="0" w:noHBand="1" w:noVBand="1"/>
      </w:tblPr>
      <w:tblGrid>
        <w:gridCol w:w="7695"/>
        <w:gridCol w:w="1575"/>
        <w:gridCol w:w="1575"/>
      </w:tblGrid>
      <w:tr w:rsidR="007827E8" w14:paraId="7811C7C2" w14:textId="77777777" w:rsidTr="007827E8">
        <w:trPr>
          <w:trHeight w:val="600"/>
        </w:trPr>
        <w:tc>
          <w:tcPr>
            <w:tcW w:w="7695" w:type="dxa"/>
            <w:tcBorders>
              <w:top w:val="single" w:sz="8" w:space="0" w:color="00529C"/>
              <w:left w:val="single" w:sz="8" w:space="0" w:color="00529C"/>
              <w:bottom w:val="nil"/>
              <w:right w:val="single" w:sz="8" w:space="0" w:color="00529C"/>
            </w:tcBorders>
            <w:shd w:val="clear" w:color="auto" w:fill="00529C"/>
            <w:vAlign w:val="center"/>
          </w:tcPr>
          <w:p w14:paraId="0B54D0AA" w14:textId="77777777" w:rsidR="007827E8" w:rsidRDefault="007827E8" w:rsidP="007827E8">
            <w:r w:rsidRPr="2DE4B61C">
              <w:rPr>
                <w:b/>
                <w:bCs/>
                <w:color w:val="FFFFFF" w:themeColor="background1"/>
              </w:rPr>
              <w:t>Response</w:t>
            </w:r>
          </w:p>
        </w:tc>
        <w:tc>
          <w:tcPr>
            <w:tcW w:w="1575" w:type="dxa"/>
            <w:tcBorders>
              <w:top w:val="single" w:sz="8" w:space="0" w:color="00529C"/>
              <w:left w:val="single" w:sz="8" w:space="0" w:color="00529C"/>
              <w:bottom w:val="nil"/>
              <w:right w:val="single" w:sz="8" w:space="0" w:color="00529C"/>
            </w:tcBorders>
            <w:shd w:val="clear" w:color="auto" w:fill="00529C"/>
            <w:vAlign w:val="center"/>
          </w:tcPr>
          <w:p w14:paraId="4FD5B896" w14:textId="77777777" w:rsidR="007827E8" w:rsidRDefault="007827E8" w:rsidP="007827E8">
            <w:r w:rsidRPr="2DE4B61C">
              <w:rPr>
                <w:b/>
                <w:bCs/>
                <w:color w:val="FFFFFF" w:themeColor="background1"/>
              </w:rPr>
              <w:t>Number of Respondents</w:t>
            </w:r>
          </w:p>
        </w:tc>
        <w:tc>
          <w:tcPr>
            <w:tcW w:w="1575" w:type="dxa"/>
            <w:tcBorders>
              <w:top w:val="single" w:sz="8" w:space="0" w:color="00529C"/>
              <w:left w:val="single" w:sz="8" w:space="0" w:color="00529C"/>
              <w:bottom w:val="nil"/>
              <w:right w:val="nil"/>
            </w:tcBorders>
            <w:shd w:val="clear" w:color="auto" w:fill="00529C"/>
            <w:vAlign w:val="center"/>
          </w:tcPr>
          <w:p w14:paraId="5517407C" w14:textId="77777777" w:rsidR="007827E8" w:rsidRDefault="007827E8" w:rsidP="007827E8">
            <w:r w:rsidRPr="2DE4B61C">
              <w:rPr>
                <w:b/>
                <w:bCs/>
                <w:color w:val="FFFFFF" w:themeColor="background1"/>
              </w:rPr>
              <w:t>Percentage of Respondents</w:t>
            </w:r>
          </w:p>
        </w:tc>
      </w:tr>
      <w:tr w:rsidR="007827E8" w14:paraId="4F258D4F" w14:textId="77777777" w:rsidTr="007827E8">
        <w:trPr>
          <w:trHeight w:val="3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133" w14:textId="77777777" w:rsidR="007827E8" w:rsidRDefault="007827E8" w:rsidP="007827E8">
            <w:r w:rsidRPr="2DE4B61C">
              <w:rPr>
                <w:b/>
                <w:bCs/>
              </w:rPr>
              <w:t xml:space="preserve">TOTAL NUMBER OF RESPONDENTS ANSWERING THIS QUESTION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C7F5" w14:textId="77777777" w:rsidR="007827E8" w:rsidRDefault="007827E8" w:rsidP="007827E8">
            <w:r w:rsidRPr="2DE4B61C">
              <w:rPr>
                <w:b/>
                <w:bCs/>
              </w:rPr>
              <w:t>54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C119" w14:textId="77777777" w:rsidR="007827E8" w:rsidRDefault="007827E8" w:rsidP="007827E8">
            <w:r w:rsidRPr="2DE4B61C">
              <w:rPr>
                <w:b/>
                <w:bCs/>
              </w:rPr>
              <w:t>100%</w:t>
            </w:r>
          </w:p>
        </w:tc>
      </w:tr>
      <w:tr w:rsidR="007827E8" w14:paraId="354AAE3F" w14:textId="77777777" w:rsidTr="007827E8">
        <w:trPr>
          <w:trHeight w:val="3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F680" w14:textId="77777777" w:rsidR="007827E8" w:rsidRDefault="007827E8" w:rsidP="007827E8">
            <w:r>
              <w:t xml:space="preserve">About one month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6E6F" w14:textId="77777777" w:rsidR="007827E8" w:rsidRDefault="007827E8" w:rsidP="007827E8">
            <w:r>
              <w:t>4</w:t>
            </w:r>
          </w:p>
        </w:tc>
        <w:tc>
          <w:tcPr>
            <w:tcW w:w="157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5DFC5B62" w14:textId="77777777" w:rsidR="007827E8" w:rsidRDefault="007827E8" w:rsidP="007827E8">
            <w:r>
              <w:t>7%</w:t>
            </w:r>
          </w:p>
        </w:tc>
      </w:tr>
      <w:tr w:rsidR="007827E8" w14:paraId="0D050A55" w14:textId="77777777" w:rsidTr="007827E8">
        <w:trPr>
          <w:trHeight w:val="3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7318" w14:textId="77777777" w:rsidR="007827E8" w:rsidRDefault="007827E8" w:rsidP="007827E8">
            <w:r>
              <w:t xml:space="preserve">About two to three months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08C8" w14:textId="77777777" w:rsidR="007827E8" w:rsidRDefault="007827E8" w:rsidP="007827E8">
            <w:r>
              <w:t>4</w:t>
            </w:r>
          </w:p>
        </w:tc>
        <w:tc>
          <w:tcPr>
            <w:tcW w:w="157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589CA8D0" w14:textId="77777777" w:rsidR="007827E8" w:rsidRDefault="007827E8" w:rsidP="007827E8">
            <w:r>
              <w:t>7%</w:t>
            </w:r>
          </w:p>
        </w:tc>
      </w:tr>
      <w:tr w:rsidR="007827E8" w14:paraId="427632A9" w14:textId="77777777" w:rsidTr="007827E8">
        <w:trPr>
          <w:trHeight w:val="3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1F65" w14:textId="77777777" w:rsidR="007827E8" w:rsidRDefault="007827E8" w:rsidP="007827E8">
            <w:r>
              <w:t xml:space="preserve">About six months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283B" w14:textId="77777777" w:rsidR="007827E8" w:rsidRDefault="007827E8" w:rsidP="007827E8">
            <w:r>
              <w:t>5</w:t>
            </w:r>
          </w:p>
        </w:tc>
        <w:tc>
          <w:tcPr>
            <w:tcW w:w="157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26B1E4C" w14:textId="77777777" w:rsidR="007827E8" w:rsidRDefault="007827E8" w:rsidP="007827E8">
            <w:r>
              <w:t>9%</w:t>
            </w:r>
          </w:p>
        </w:tc>
      </w:tr>
      <w:tr w:rsidR="007827E8" w14:paraId="1C754C7E" w14:textId="77777777" w:rsidTr="007827E8">
        <w:trPr>
          <w:trHeight w:val="3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4A32" w14:textId="77777777" w:rsidR="007827E8" w:rsidRDefault="007827E8" w:rsidP="007827E8">
            <w:r>
              <w:t xml:space="preserve">About a year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40F8" w14:textId="77777777" w:rsidR="007827E8" w:rsidRDefault="007827E8" w:rsidP="007827E8">
            <w:r>
              <w:t>5</w:t>
            </w:r>
          </w:p>
        </w:tc>
        <w:tc>
          <w:tcPr>
            <w:tcW w:w="157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277A5E02" w14:textId="77777777" w:rsidR="007827E8" w:rsidRDefault="007827E8" w:rsidP="007827E8">
            <w:r>
              <w:t>9%</w:t>
            </w:r>
          </w:p>
        </w:tc>
      </w:tr>
      <w:tr w:rsidR="007827E8" w14:paraId="79E550B4" w14:textId="77777777" w:rsidTr="007827E8">
        <w:trPr>
          <w:trHeight w:val="3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87A" w14:textId="77777777" w:rsidR="007827E8" w:rsidRDefault="007827E8" w:rsidP="007827E8">
            <w:r>
              <w:t xml:space="preserve">More than a year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4DD5" w14:textId="77777777" w:rsidR="007827E8" w:rsidRDefault="007827E8" w:rsidP="007827E8">
            <w:r>
              <w:t>4</w:t>
            </w:r>
          </w:p>
        </w:tc>
        <w:tc>
          <w:tcPr>
            <w:tcW w:w="157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6C7FB23A" w14:textId="77777777" w:rsidR="007827E8" w:rsidRDefault="007827E8" w:rsidP="007827E8">
            <w:r>
              <w:t>7%</w:t>
            </w:r>
          </w:p>
        </w:tc>
      </w:tr>
      <w:tr w:rsidR="007827E8" w14:paraId="565847FC" w14:textId="77777777" w:rsidTr="007827E8">
        <w:trPr>
          <w:trHeight w:val="3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107C" w14:textId="77777777" w:rsidR="007827E8" w:rsidRDefault="007827E8" w:rsidP="007827E8">
            <w:r>
              <w:t xml:space="preserve">Permanently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5212" w14:textId="77777777" w:rsidR="007827E8" w:rsidRDefault="007827E8" w:rsidP="007827E8">
            <w:r>
              <w:t>4</w:t>
            </w:r>
          </w:p>
        </w:tc>
        <w:tc>
          <w:tcPr>
            <w:tcW w:w="157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75303B1A" w14:textId="77777777" w:rsidR="007827E8" w:rsidRDefault="007827E8" w:rsidP="007827E8">
            <w:r>
              <w:t>7%</w:t>
            </w:r>
          </w:p>
        </w:tc>
      </w:tr>
      <w:tr w:rsidR="007827E8" w14:paraId="46AAA757" w14:textId="77777777" w:rsidTr="007827E8">
        <w:trPr>
          <w:trHeight w:val="3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BFC" w14:textId="77777777" w:rsidR="007827E8" w:rsidRDefault="007827E8" w:rsidP="007827E8">
            <w:r>
              <w:t xml:space="preserve">Don't know/not possible to know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696D" w14:textId="77777777" w:rsidR="007827E8" w:rsidRDefault="007827E8" w:rsidP="007827E8">
            <w:r>
              <w:t>28</w:t>
            </w:r>
          </w:p>
        </w:tc>
        <w:tc>
          <w:tcPr>
            <w:tcW w:w="1575" w:type="dxa"/>
            <w:tcBorders>
              <w:top w:val="single" w:sz="4" w:space="0" w:color="44546A" w:themeColor="text2"/>
              <w:left w:val="single" w:sz="4" w:space="0" w:color="auto"/>
              <w:bottom w:val="single" w:sz="4" w:space="0" w:color="44546A" w:themeColor="text2"/>
              <w:right w:val="single" w:sz="4" w:space="0" w:color="44546A" w:themeColor="text2"/>
            </w:tcBorders>
            <w:vAlign w:val="center"/>
          </w:tcPr>
          <w:p w14:paraId="4406745B" w14:textId="77777777" w:rsidR="007827E8" w:rsidRDefault="007827E8" w:rsidP="007827E8">
            <w:r>
              <w:t>52%</w:t>
            </w:r>
          </w:p>
        </w:tc>
      </w:tr>
    </w:tbl>
    <w:p w14:paraId="307D4046" w14:textId="77777777" w:rsidR="007827E8" w:rsidRPr="007827E8" w:rsidRDefault="007827E8" w:rsidP="007827E8">
      <w:pPr>
        <w:rPr>
          <w:i/>
          <w:iCs/>
        </w:rPr>
      </w:pPr>
    </w:p>
    <w:p w14:paraId="133EAEF1" w14:textId="6DAE2BFD" w:rsidR="007827E8" w:rsidRDefault="007827E8" w:rsidP="007827E8">
      <w:pPr>
        <w:ind w:left="360"/>
        <w:rPr>
          <w:i/>
          <w:iCs/>
        </w:rPr>
      </w:pPr>
    </w:p>
    <w:p w14:paraId="4DDA71A9" w14:textId="504737D6" w:rsidR="007827E8" w:rsidRDefault="007827E8" w:rsidP="007827E8">
      <w:pPr>
        <w:ind w:left="360"/>
        <w:rPr>
          <w:i/>
          <w:iCs/>
        </w:rPr>
      </w:pPr>
    </w:p>
    <w:p w14:paraId="5735E59B" w14:textId="49B6557B" w:rsidR="007827E8" w:rsidRDefault="007827E8" w:rsidP="007827E8">
      <w:pPr>
        <w:ind w:left="360"/>
        <w:rPr>
          <w:i/>
          <w:iCs/>
        </w:rPr>
      </w:pPr>
    </w:p>
    <w:p w14:paraId="72FA3848" w14:textId="044E11E1" w:rsidR="007827E8" w:rsidRDefault="007827E8" w:rsidP="007827E8">
      <w:pPr>
        <w:ind w:left="360"/>
        <w:rPr>
          <w:i/>
          <w:iCs/>
        </w:rPr>
      </w:pPr>
    </w:p>
    <w:p w14:paraId="4210919F" w14:textId="10AF5309" w:rsidR="007827E8" w:rsidRDefault="007827E8" w:rsidP="007827E8">
      <w:pPr>
        <w:ind w:left="360"/>
        <w:rPr>
          <w:i/>
          <w:iCs/>
        </w:rPr>
      </w:pPr>
    </w:p>
    <w:p w14:paraId="4034AC21" w14:textId="6FA89B93" w:rsidR="007827E8" w:rsidRDefault="007827E8" w:rsidP="007827E8">
      <w:pPr>
        <w:ind w:left="360"/>
        <w:rPr>
          <w:i/>
          <w:iCs/>
        </w:rPr>
      </w:pPr>
    </w:p>
    <w:p w14:paraId="32653902" w14:textId="77777777" w:rsidR="007827E8" w:rsidRPr="007827E8" w:rsidRDefault="007827E8" w:rsidP="007827E8">
      <w:pPr>
        <w:ind w:left="360"/>
        <w:rPr>
          <w:i/>
          <w:iCs/>
        </w:rPr>
      </w:pPr>
    </w:p>
    <w:p w14:paraId="15458612" w14:textId="6A9F1BE2" w:rsidR="00594B5F" w:rsidRPr="00E667B7" w:rsidRDefault="005816DB" w:rsidP="080F9736">
      <w:pPr>
        <w:pStyle w:val="ListParagraph"/>
        <w:numPr>
          <w:ilvl w:val="1"/>
          <w:numId w:val="2"/>
        </w:numPr>
        <w:rPr>
          <w:i/>
          <w:iCs/>
        </w:rPr>
      </w:pPr>
      <w:r>
        <w:t>It will be noted that m</w:t>
      </w:r>
      <w:r w:rsidR="0E47F52E">
        <w:t xml:space="preserve">ore than half of </w:t>
      </w:r>
      <w:r w:rsidR="679B9294">
        <w:t xml:space="preserve">the </w:t>
      </w:r>
      <w:r w:rsidR="0E47F52E">
        <w:t xml:space="preserve">organisations </w:t>
      </w:r>
      <w:r w:rsidR="76D6B060">
        <w:t xml:space="preserve">responding </w:t>
      </w:r>
      <w:r w:rsidR="0E47F52E">
        <w:t>felt they could not anticipate how long they will be providing Covid-19 related services</w:t>
      </w:r>
      <w:r w:rsidR="123A078F">
        <w:t>, although 13 organisations (24%) anticipated ceasing to provide Covid-19 related services within</w:t>
      </w:r>
      <w:r w:rsidR="4E723767">
        <w:t xml:space="preserve"> the next six months</w:t>
      </w:r>
      <w:r w:rsidR="008000F2">
        <w:t>.</w:t>
      </w:r>
    </w:p>
    <w:p w14:paraId="1CDCD9EA" w14:textId="77777777" w:rsidR="00843399" w:rsidRDefault="00843399" w:rsidP="00843399">
      <w:pPr>
        <w:pStyle w:val="ListParagraph"/>
        <w:tabs>
          <w:tab w:val="left" w:pos="851"/>
        </w:tabs>
        <w:ind w:left="792"/>
      </w:pPr>
    </w:p>
    <w:p w14:paraId="6C374299" w14:textId="384BC5AC" w:rsidR="00D912CC" w:rsidRPr="00E755E5" w:rsidRDefault="00843399" w:rsidP="080F9736">
      <w:pPr>
        <w:pStyle w:val="ListParagraph"/>
        <w:numPr>
          <w:ilvl w:val="0"/>
          <w:numId w:val="2"/>
        </w:numPr>
        <w:tabs>
          <w:tab w:val="left" w:pos="851"/>
        </w:tabs>
        <w:rPr>
          <w:i/>
          <w:iCs/>
        </w:rPr>
      </w:pPr>
      <w:r w:rsidRPr="080F9736">
        <w:rPr>
          <w:i/>
          <w:iCs/>
        </w:rPr>
        <w:t xml:space="preserve">Continuing needs </w:t>
      </w:r>
    </w:p>
    <w:p w14:paraId="1F02DB59" w14:textId="19A7516A" w:rsidR="00D912CC" w:rsidRDefault="00D912CC" w:rsidP="00D912CC">
      <w:pPr>
        <w:pStyle w:val="ListParagraph"/>
        <w:numPr>
          <w:ilvl w:val="1"/>
          <w:numId w:val="2"/>
        </w:numPr>
        <w:tabs>
          <w:tab w:val="left" w:pos="851"/>
        </w:tabs>
      </w:pPr>
      <w:r>
        <w:t xml:space="preserve">Amongst those organisations planning to continue the delivery of </w:t>
      </w:r>
      <w:r w:rsidR="004742DE">
        <w:t>Covid-19 related</w:t>
      </w:r>
      <w:r w:rsidR="00C8087E">
        <w:t xml:space="preserve"> </w:t>
      </w:r>
      <w:r>
        <w:t xml:space="preserve">services </w:t>
      </w:r>
      <w:r w:rsidR="003B0920">
        <w:t xml:space="preserve">for over a year or </w:t>
      </w:r>
      <w:r w:rsidR="00C8087E">
        <w:t xml:space="preserve">for </w:t>
      </w:r>
      <w:r w:rsidR="003B0920">
        <w:t>an indeterminate period</w:t>
      </w:r>
      <w:r w:rsidR="0025395E">
        <w:t xml:space="preserve"> (63%)</w:t>
      </w:r>
      <w:r>
        <w:t xml:space="preserve">, there was a concern that, should they cease to provide these services, there would be needs that would go unmet. </w:t>
      </w:r>
    </w:p>
    <w:p w14:paraId="2DA0BE0A" w14:textId="0336DB7B" w:rsidR="009A3DBF" w:rsidRPr="00C743F9" w:rsidRDefault="00E755E5" w:rsidP="00B435EA">
      <w:pPr>
        <w:pStyle w:val="ListParagraph"/>
        <w:numPr>
          <w:ilvl w:val="1"/>
          <w:numId w:val="2"/>
        </w:numPr>
        <w:tabs>
          <w:tab w:val="left" w:pos="851"/>
        </w:tabs>
      </w:pPr>
      <w:r>
        <w:t>The issues identified included a continuing need</w:t>
      </w:r>
      <w:r w:rsidR="008E3EDB">
        <w:t xml:space="preserve"> due to</w:t>
      </w:r>
      <w:r>
        <w:t xml:space="preserve"> food, </w:t>
      </w:r>
      <w:r w:rsidR="008E3EDB">
        <w:t>f</w:t>
      </w:r>
      <w:r>
        <w:t>inancial issues or a lack of resource.</w:t>
      </w:r>
    </w:p>
    <w:p w14:paraId="401EB23C" w14:textId="77777777" w:rsidR="00EC6A9C" w:rsidRDefault="00EC6A9C" w:rsidP="00EC6A9C">
      <w:pPr>
        <w:pStyle w:val="ListParagraph"/>
        <w:tabs>
          <w:tab w:val="left" w:pos="851"/>
        </w:tabs>
        <w:ind w:left="792"/>
      </w:pPr>
    </w:p>
    <w:p w14:paraId="413ED099" w14:textId="1AF6FA53" w:rsidR="00EC6A9C" w:rsidRPr="00B435EA" w:rsidRDefault="00EC6A9C" w:rsidP="080F9736">
      <w:pPr>
        <w:pStyle w:val="ListParagraph"/>
        <w:numPr>
          <w:ilvl w:val="0"/>
          <w:numId w:val="2"/>
        </w:numPr>
        <w:tabs>
          <w:tab w:val="left" w:pos="851"/>
        </w:tabs>
        <w:rPr>
          <w:i/>
          <w:iCs/>
        </w:rPr>
      </w:pPr>
      <w:r w:rsidRPr="080F9736">
        <w:rPr>
          <w:i/>
          <w:iCs/>
        </w:rPr>
        <w:t>Conclusions</w:t>
      </w:r>
    </w:p>
    <w:p w14:paraId="7AAE600D" w14:textId="01A1237D" w:rsidR="00E57915" w:rsidRDefault="00A12DA2" w:rsidP="002C312F">
      <w:pPr>
        <w:pStyle w:val="ListParagraph"/>
        <w:numPr>
          <w:ilvl w:val="1"/>
          <w:numId w:val="2"/>
        </w:numPr>
        <w:tabs>
          <w:tab w:val="left" w:pos="851"/>
        </w:tabs>
      </w:pPr>
      <w:r>
        <w:t>The system</w:t>
      </w:r>
      <w:r w:rsidR="000B5289">
        <w:t>-</w:t>
      </w:r>
      <w:r>
        <w:t xml:space="preserve">wide response during lockdown has been effective. The Covid-19 crisis has seen positive engagement </w:t>
      </w:r>
      <w:r w:rsidR="00BB55E9">
        <w:t>between</w:t>
      </w:r>
      <w:r>
        <w:t xml:space="preserve"> sectors</w:t>
      </w:r>
      <w:r w:rsidR="00BB55E9">
        <w:t>,</w:t>
      </w:r>
      <w:r>
        <w:t xml:space="preserve"> working together at a rapid pace. </w:t>
      </w:r>
      <w:r w:rsidR="00E57915">
        <w:t>Perhaps as many as 33,550</w:t>
      </w:r>
      <w:r w:rsidR="002C312F">
        <w:t xml:space="preserve"> individuals have</w:t>
      </w:r>
      <w:r w:rsidR="00E57915">
        <w:t xml:space="preserve"> received essential support from voluntary and community sector organisations</w:t>
      </w:r>
      <w:r w:rsidR="002C312F">
        <w:t xml:space="preserve"> since the</w:t>
      </w:r>
      <w:r w:rsidR="006A6A50">
        <w:t xml:space="preserve"> pandemic</w:t>
      </w:r>
      <w:r w:rsidR="002C312F">
        <w:t xml:space="preserve"> commenced</w:t>
      </w:r>
    </w:p>
    <w:p w14:paraId="711530D7" w14:textId="3B2420CF" w:rsidR="00A12DA2" w:rsidRDefault="00A12DA2" w:rsidP="00A12DA2">
      <w:pPr>
        <w:pStyle w:val="ListParagraph"/>
        <w:numPr>
          <w:ilvl w:val="1"/>
          <w:numId w:val="2"/>
        </w:numPr>
        <w:tabs>
          <w:tab w:val="left" w:pos="851"/>
        </w:tabs>
      </w:pPr>
      <w:r>
        <w:t>The COVID-19 pandemic is having a profound impact on all aspects of the VCS</w:t>
      </w:r>
      <w:r w:rsidR="00DB6F0E">
        <w:t>. O</w:t>
      </w:r>
      <w:r>
        <w:t xml:space="preserve">rganisations are aware of potential risks </w:t>
      </w:r>
      <w:r w:rsidR="00801951">
        <w:t>of</w:t>
      </w:r>
      <w:r>
        <w:t xml:space="preserve"> local lockdowns and a second wave which contribute to the uncertainly </w:t>
      </w:r>
      <w:r w:rsidR="00801951">
        <w:t>as to</w:t>
      </w:r>
      <w:r>
        <w:t xml:space="preserve"> when services can be withdrawn. </w:t>
      </w:r>
    </w:p>
    <w:p w14:paraId="617AEE2F" w14:textId="47A15B19" w:rsidR="009C571C" w:rsidRDefault="00372919" w:rsidP="009C571C">
      <w:pPr>
        <w:pStyle w:val="ListParagraph"/>
        <w:numPr>
          <w:ilvl w:val="1"/>
          <w:numId w:val="2"/>
        </w:numPr>
        <w:tabs>
          <w:tab w:val="left" w:pos="851"/>
        </w:tabs>
      </w:pPr>
      <w:r>
        <w:lastRenderedPageBreak/>
        <w:t xml:space="preserve">At </w:t>
      </w:r>
      <w:r w:rsidR="000B1299">
        <w:t>least 500 Wandsworth residents are currently being support</w:t>
      </w:r>
      <w:r w:rsidR="004F5B7E">
        <w:t>ed</w:t>
      </w:r>
      <w:r w:rsidR="000B1299">
        <w:t xml:space="preserve"> with Covid-19 related services each week</w:t>
      </w:r>
      <w:r w:rsidR="00504721">
        <w:t xml:space="preserve">.  There remains an approximate balance between the </w:t>
      </w:r>
      <w:r w:rsidR="00B0031A">
        <w:t>number of organisations seeing decreasing or increasing needs.</w:t>
      </w:r>
      <w:r w:rsidR="00164ECE">
        <w:t xml:space="preserve"> </w:t>
      </w:r>
    </w:p>
    <w:p w14:paraId="79F8FE33" w14:textId="4041A0D0" w:rsidR="00A13F95" w:rsidRDefault="00DC1644" w:rsidP="00A13F95">
      <w:pPr>
        <w:pStyle w:val="ListParagraph"/>
        <w:numPr>
          <w:ilvl w:val="1"/>
          <w:numId w:val="2"/>
        </w:numPr>
        <w:tabs>
          <w:tab w:val="left" w:pos="851"/>
        </w:tabs>
      </w:pPr>
      <w:r>
        <w:t xml:space="preserve">More than half </w:t>
      </w:r>
      <w:r w:rsidR="00DE5AE8">
        <w:t xml:space="preserve">of the organisations </w:t>
      </w:r>
      <w:r w:rsidR="001F7C2C">
        <w:t xml:space="preserve">responding </w:t>
      </w:r>
      <w:r>
        <w:t xml:space="preserve">didn’t know or felt it not possible to know </w:t>
      </w:r>
      <w:r w:rsidR="001F7C2C">
        <w:t>they would c</w:t>
      </w:r>
      <w:r w:rsidR="00F51221">
        <w:t xml:space="preserve">ontinue to provide Covid-19 related services.  </w:t>
      </w:r>
      <w:r w:rsidR="0079087A">
        <w:t xml:space="preserve">However, </w:t>
      </w:r>
      <w:r w:rsidR="008A52B6">
        <w:t>13 organisations</w:t>
      </w:r>
      <w:r w:rsidR="00A428DB">
        <w:t xml:space="preserve"> anticipate providing Covid-19 related services less than 6 more months</w:t>
      </w:r>
      <w:r w:rsidR="00AB1C7F">
        <w:t>.</w:t>
      </w:r>
      <w:r w:rsidR="0009458B">
        <w:t xml:space="preserve"> </w:t>
      </w:r>
      <w:r w:rsidR="00811340">
        <w:t xml:space="preserve"> This highlights the need for a</w:t>
      </w:r>
      <w:r w:rsidR="00E877AF">
        <w:t xml:space="preserve"> staggered </w:t>
      </w:r>
      <w:r w:rsidR="00811340">
        <w:t xml:space="preserve">and </w:t>
      </w:r>
      <w:r w:rsidR="00E877AF">
        <w:t xml:space="preserve">coordinated approach to withdrawal of services, </w:t>
      </w:r>
      <w:r w:rsidR="0030535B">
        <w:t>ensur</w:t>
      </w:r>
      <w:r w:rsidR="00F0224F">
        <w:t>ing that</w:t>
      </w:r>
      <w:r w:rsidR="0030535B">
        <w:t xml:space="preserve"> capacity</w:t>
      </w:r>
      <w:r w:rsidR="006146DF">
        <w:t xml:space="preserve"> </w:t>
      </w:r>
      <w:r w:rsidR="00AB4824">
        <w:t>continues to</w:t>
      </w:r>
      <w:r w:rsidR="006146DF">
        <w:t xml:space="preserve"> meet </w:t>
      </w:r>
      <w:r w:rsidR="00D218EC">
        <w:t>demand</w:t>
      </w:r>
      <w:r w:rsidR="002D33EF">
        <w:t xml:space="preserve"> </w:t>
      </w:r>
      <w:r w:rsidR="00AB4824">
        <w:t>as the need for and supply of temporary provision reduces</w:t>
      </w:r>
      <w:r w:rsidR="00D218EC">
        <w:t>.</w:t>
      </w:r>
    </w:p>
    <w:p w14:paraId="5128E746" w14:textId="77777777" w:rsidR="00A13F95" w:rsidRDefault="00A13F95" w:rsidP="00A13F95">
      <w:pPr>
        <w:pStyle w:val="ListParagraph"/>
        <w:numPr>
          <w:ilvl w:val="1"/>
          <w:numId w:val="2"/>
        </w:numPr>
        <w:tabs>
          <w:tab w:val="left" w:pos="851"/>
        </w:tabs>
      </w:pPr>
      <w:r>
        <w:t xml:space="preserve">Respondents have identified a number of issues which they anticipate will be critical in the coming months: </w:t>
      </w:r>
    </w:p>
    <w:p w14:paraId="7D9A8DB3" w14:textId="30C324E1" w:rsidR="00A13F95" w:rsidRDefault="00A13F95" w:rsidP="00A13F95">
      <w:pPr>
        <w:pStyle w:val="ListParagraph"/>
        <w:numPr>
          <w:ilvl w:val="2"/>
          <w:numId w:val="2"/>
        </w:numPr>
        <w:tabs>
          <w:tab w:val="left" w:pos="851"/>
        </w:tabs>
      </w:pPr>
      <w:r>
        <w:t>F</w:t>
      </w:r>
      <w:r w:rsidR="00333778">
        <w:t>ood support for families who are experiencing financial hardship</w:t>
      </w:r>
      <w:r w:rsidR="009B6799">
        <w:t>.</w:t>
      </w:r>
    </w:p>
    <w:p w14:paraId="656C56FE" w14:textId="31E8966B" w:rsidR="00A13F95" w:rsidRDefault="00861E6F" w:rsidP="00A13F95">
      <w:pPr>
        <w:pStyle w:val="ListParagraph"/>
        <w:numPr>
          <w:ilvl w:val="2"/>
          <w:numId w:val="2"/>
        </w:numPr>
        <w:tabs>
          <w:tab w:val="left" w:pos="851"/>
        </w:tabs>
      </w:pPr>
      <w:r>
        <w:t>H</w:t>
      </w:r>
      <w:r w:rsidR="00CA4E47">
        <w:t>ousing</w:t>
      </w:r>
      <w:r>
        <w:t xml:space="preserve"> needs</w:t>
      </w:r>
      <w:r w:rsidR="009B6799">
        <w:t>.</w:t>
      </w:r>
    </w:p>
    <w:p w14:paraId="332A9976" w14:textId="56D8ECF2" w:rsidR="00A13F95" w:rsidRDefault="00A13F95" w:rsidP="00A13F95">
      <w:pPr>
        <w:pStyle w:val="ListParagraph"/>
        <w:numPr>
          <w:ilvl w:val="2"/>
          <w:numId w:val="2"/>
        </w:numPr>
        <w:tabs>
          <w:tab w:val="left" w:pos="851"/>
        </w:tabs>
      </w:pPr>
      <w:r>
        <w:t>M</w:t>
      </w:r>
      <w:r w:rsidR="004B6E56">
        <w:t xml:space="preserve">ental health </w:t>
      </w:r>
      <w:r w:rsidR="00EF120D">
        <w:t>needs</w:t>
      </w:r>
      <w:r w:rsidR="009B6799">
        <w:t>.</w:t>
      </w:r>
      <w:r w:rsidR="00EF120D">
        <w:t xml:space="preserve"> </w:t>
      </w:r>
    </w:p>
    <w:p w14:paraId="0FEDF9E7" w14:textId="20CF96CD" w:rsidR="00C7550C" w:rsidRDefault="009B6799" w:rsidP="00A13F95">
      <w:pPr>
        <w:pStyle w:val="ListParagraph"/>
        <w:numPr>
          <w:ilvl w:val="2"/>
          <w:numId w:val="2"/>
        </w:numPr>
        <w:tabs>
          <w:tab w:val="left" w:pos="851"/>
        </w:tabs>
      </w:pPr>
      <w:r>
        <w:t>S</w:t>
      </w:r>
      <w:r w:rsidR="001D1ED5">
        <w:t>upport for residents to engage in meaningful activity</w:t>
      </w:r>
      <w:r w:rsidR="00EF120D">
        <w:t xml:space="preserve">. </w:t>
      </w:r>
    </w:p>
    <w:p w14:paraId="2C70F9F6" w14:textId="0B187FBE" w:rsidR="00A156E2" w:rsidRPr="00CF6B7B" w:rsidRDefault="00A156E2" w:rsidP="0024500A"/>
    <w:sectPr w:rsidR="00A156E2" w:rsidRPr="00CF6B7B" w:rsidSect="00A11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14F5" w14:textId="77777777" w:rsidR="00213EBA" w:rsidRDefault="00213EBA" w:rsidP="00A509CA">
      <w:pPr>
        <w:spacing w:after="0" w:line="240" w:lineRule="auto"/>
      </w:pPr>
      <w:r>
        <w:separator/>
      </w:r>
    </w:p>
  </w:endnote>
  <w:endnote w:type="continuationSeparator" w:id="0">
    <w:p w14:paraId="703963BB" w14:textId="77777777" w:rsidR="00213EBA" w:rsidRDefault="00213EBA" w:rsidP="00A509CA">
      <w:pPr>
        <w:spacing w:after="0" w:line="240" w:lineRule="auto"/>
      </w:pPr>
      <w:r>
        <w:continuationSeparator/>
      </w:r>
    </w:p>
  </w:endnote>
  <w:endnote w:type="continuationNotice" w:id="1">
    <w:p w14:paraId="653FD946" w14:textId="77777777" w:rsidR="00213EBA" w:rsidRDefault="00213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181F" w14:textId="77777777" w:rsidR="005660F3" w:rsidRDefault="00566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30A0" w14:textId="77777777" w:rsidR="005660F3" w:rsidRDefault="00566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C0D8" w14:textId="77777777" w:rsidR="005660F3" w:rsidRDefault="00566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A2EC" w14:textId="77777777" w:rsidR="00213EBA" w:rsidRDefault="00213EBA" w:rsidP="00A509CA">
      <w:pPr>
        <w:spacing w:after="0" w:line="240" w:lineRule="auto"/>
      </w:pPr>
      <w:r>
        <w:separator/>
      </w:r>
    </w:p>
  </w:footnote>
  <w:footnote w:type="continuationSeparator" w:id="0">
    <w:p w14:paraId="4B66251D" w14:textId="77777777" w:rsidR="00213EBA" w:rsidRDefault="00213EBA" w:rsidP="00A509CA">
      <w:pPr>
        <w:spacing w:after="0" w:line="240" w:lineRule="auto"/>
      </w:pPr>
      <w:r>
        <w:continuationSeparator/>
      </w:r>
    </w:p>
  </w:footnote>
  <w:footnote w:type="continuationNotice" w:id="1">
    <w:p w14:paraId="33FCFA8D" w14:textId="77777777" w:rsidR="00213EBA" w:rsidRDefault="00213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A9FC" w14:textId="77777777" w:rsidR="005660F3" w:rsidRDefault="00566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C6A8" w14:textId="7A24AC08" w:rsidR="00B16BCB" w:rsidRDefault="00176D6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E8A6B7" wp14:editId="166DAF6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061e4cfe9fff0d1ecd18d8bd" descr="{&quot;HashCode&quot;:198767419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E6420D" w14:textId="2FA5F902" w:rsidR="00176D65" w:rsidRPr="00176D65" w:rsidRDefault="00176D65" w:rsidP="00176D6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76D6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8A6B7" id="_x0000_t202" coordsize="21600,21600" o:spt="202" path="m,l,21600r21600,l21600,xe">
              <v:stroke joinstyle="miter"/>
              <v:path gradientshapeok="t" o:connecttype="rect"/>
            </v:shapetype>
            <v:shape id="MSIPCM061e4cfe9fff0d1ecd18d8bd" o:spid="_x0000_s1026" type="#_x0000_t202" alt="{&quot;HashCode&quot;:1987674191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" o:allowincell="f" filled="f" stroked="f" strokeweight=".5pt">
              <v:textbox inset="20pt,0,,0">
                <w:txbxContent>
                  <w:p w14:paraId="4BE6420D" w14:textId="2FA5F902" w:rsidR="00176D65" w:rsidRPr="00176D65" w:rsidRDefault="00176D65" w:rsidP="00176D6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76D6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7137340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16BCB">
          <w:fldChar w:fldCharType="begin"/>
        </w:r>
        <w:r w:rsidR="00B16BCB">
          <w:instrText xml:space="preserve"> PAGE   \* MERGEFORMAT </w:instrText>
        </w:r>
        <w:r w:rsidR="00B16BCB">
          <w:fldChar w:fldCharType="separate"/>
        </w:r>
        <w:r w:rsidR="00B16BCB">
          <w:rPr>
            <w:noProof/>
          </w:rPr>
          <w:t>2</w:t>
        </w:r>
        <w:r w:rsidR="00B16BCB">
          <w:rPr>
            <w:noProof/>
          </w:rPr>
          <w:fldChar w:fldCharType="end"/>
        </w:r>
      </w:sdtContent>
    </w:sdt>
  </w:p>
  <w:p w14:paraId="5B8A1A65" w14:textId="293110A1" w:rsidR="00A509CA" w:rsidRDefault="00A50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C39F" w14:textId="77777777" w:rsidR="005660F3" w:rsidRDefault="00566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19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5B5FAB"/>
    <w:multiLevelType w:val="hybridMultilevel"/>
    <w:tmpl w:val="C9EE2EA2"/>
    <w:lvl w:ilvl="0" w:tplc="8D82214C">
      <w:numFmt w:val="none"/>
      <w:lvlText w:val=""/>
      <w:lvlJc w:val="left"/>
      <w:pPr>
        <w:tabs>
          <w:tab w:val="num" w:pos="360"/>
        </w:tabs>
      </w:pPr>
    </w:lvl>
    <w:lvl w:ilvl="1" w:tplc="D90895AE">
      <w:start w:val="1"/>
      <w:numFmt w:val="lowerLetter"/>
      <w:lvlText w:val="%2."/>
      <w:lvlJc w:val="left"/>
      <w:pPr>
        <w:ind w:left="1440" w:hanging="360"/>
      </w:pPr>
    </w:lvl>
    <w:lvl w:ilvl="2" w:tplc="B09CC324">
      <w:start w:val="1"/>
      <w:numFmt w:val="lowerRoman"/>
      <w:lvlText w:val="%3."/>
      <w:lvlJc w:val="right"/>
      <w:pPr>
        <w:ind w:left="2160" w:hanging="180"/>
      </w:pPr>
    </w:lvl>
    <w:lvl w:ilvl="3" w:tplc="F858ED9A">
      <w:start w:val="1"/>
      <w:numFmt w:val="decimal"/>
      <w:lvlText w:val="%4."/>
      <w:lvlJc w:val="left"/>
      <w:pPr>
        <w:ind w:left="2880" w:hanging="360"/>
      </w:pPr>
    </w:lvl>
    <w:lvl w:ilvl="4" w:tplc="C98EEBFE">
      <w:start w:val="1"/>
      <w:numFmt w:val="lowerLetter"/>
      <w:lvlText w:val="%5."/>
      <w:lvlJc w:val="left"/>
      <w:pPr>
        <w:ind w:left="3600" w:hanging="360"/>
      </w:pPr>
    </w:lvl>
    <w:lvl w:ilvl="5" w:tplc="EEFE1D7C">
      <w:start w:val="1"/>
      <w:numFmt w:val="lowerRoman"/>
      <w:lvlText w:val="%6."/>
      <w:lvlJc w:val="right"/>
      <w:pPr>
        <w:ind w:left="4320" w:hanging="180"/>
      </w:pPr>
    </w:lvl>
    <w:lvl w:ilvl="6" w:tplc="A0DCAF1E">
      <w:start w:val="1"/>
      <w:numFmt w:val="decimal"/>
      <w:lvlText w:val="%7."/>
      <w:lvlJc w:val="left"/>
      <w:pPr>
        <w:ind w:left="5040" w:hanging="360"/>
      </w:pPr>
    </w:lvl>
    <w:lvl w:ilvl="7" w:tplc="8B8E4D1C">
      <w:start w:val="1"/>
      <w:numFmt w:val="lowerLetter"/>
      <w:lvlText w:val="%8."/>
      <w:lvlJc w:val="left"/>
      <w:pPr>
        <w:ind w:left="5760" w:hanging="360"/>
      </w:pPr>
    </w:lvl>
    <w:lvl w:ilvl="8" w:tplc="A42E02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E38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D22F24"/>
    <w:multiLevelType w:val="hybridMultilevel"/>
    <w:tmpl w:val="7E8E8B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107E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7B"/>
    <w:rsid w:val="00000703"/>
    <w:rsid w:val="00000CD7"/>
    <w:rsid w:val="00013D0D"/>
    <w:rsid w:val="00017F48"/>
    <w:rsid w:val="00020972"/>
    <w:rsid w:val="00022CFD"/>
    <w:rsid w:val="00023CB5"/>
    <w:rsid w:val="00024868"/>
    <w:rsid w:val="00030ED3"/>
    <w:rsid w:val="000315AC"/>
    <w:rsid w:val="00031E82"/>
    <w:rsid w:val="000339EE"/>
    <w:rsid w:val="00055F17"/>
    <w:rsid w:val="000600B5"/>
    <w:rsid w:val="00063BCE"/>
    <w:rsid w:val="0007373A"/>
    <w:rsid w:val="000806CF"/>
    <w:rsid w:val="00081586"/>
    <w:rsid w:val="00087672"/>
    <w:rsid w:val="0009458B"/>
    <w:rsid w:val="000A1F8E"/>
    <w:rsid w:val="000A29BD"/>
    <w:rsid w:val="000A7C01"/>
    <w:rsid w:val="000B1299"/>
    <w:rsid w:val="000B5289"/>
    <w:rsid w:val="000B567C"/>
    <w:rsid w:val="000B5AA8"/>
    <w:rsid w:val="000E6F8F"/>
    <w:rsid w:val="000F03F4"/>
    <w:rsid w:val="000F7E8B"/>
    <w:rsid w:val="00104E00"/>
    <w:rsid w:val="00105AF9"/>
    <w:rsid w:val="0012176A"/>
    <w:rsid w:val="00132272"/>
    <w:rsid w:val="00164372"/>
    <w:rsid w:val="00164ECE"/>
    <w:rsid w:val="00165271"/>
    <w:rsid w:val="001716FB"/>
    <w:rsid w:val="00175451"/>
    <w:rsid w:val="00176D65"/>
    <w:rsid w:val="00176E9C"/>
    <w:rsid w:val="00181E79"/>
    <w:rsid w:val="00185668"/>
    <w:rsid w:val="00195414"/>
    <w:rsid w:val="00195C12"/>
    <w:rsid w:val="00197442"/>
    <w:rsid w:val="001B233D"/>
    <w:rsid w:val="001B3EB0"/>
    <w:rsid w:val="001B6E30"/>
    <w:rsid w:val="001C2B47"/>
    <w:rsid w:val="001C427C"/>
    <w:rsid w:val="001D1ED5"/>
    <w:rsid w:val="001F1A77"/>
    <w:rsid w:val="001F1C2D"/>
    <w:rsid w:val="001F7C2C"/>
    <w:rsid w:val="00205473"/>
    <w:rsid w:val="00205FDF"/>
    <w:rsid w:val="002079D2"/>
    <w:rsid w:val="00213EBA"/>
    <w:rsid w:val="002216FA"/>
    <w:rsid w:val="0022414D"/>
    <w:rsid w:val="00225F53"/>
    <w:rsid w:val="00227D93"/>
    <w:rsid w:val="00230109"/>
    <w:rsid w:val="00233337"/>
    <w:rsid w:val="0024500A"/>
    <w:rsid w:val="0025000E"/>
    <w:rsid w:val="00251039"/>
    <w:rsid w:val="0025395E"/>
    <w:rsid w:val="00254CD9"/>
    <w:rsid w:val="002551C9"/>
    <w:rsid w:val="00256C95"/>
    <w:rsid w:val="00264EFE"/>
    <w:rsid w:val="00270B28"/>
    <w:rsid w:val="002764C1"/>
    <w:rsid w:val="00276CFB"/>
    <w:rsid w:val="0028425F"/>
    <w:rsid w:val="002857CD"/>
    <w:rsid w:val="00285E33"/>
    <w:rsid w:val="0028607D"/>
    <w:rsid w:val="00290DCB"/>
    <w:rsid w:val="00297BF7"/>
    <w:rsid w:val="002A1495"/>
    <w:rsid w:val="002A2A39"/>
    <w:rsid w:val="002B03D8"/>
    <w:rsid w:val="002B6768"/>
    <w:rsid w:val="002C0A77"/>
    <w:rsid w:val="002C312F"/>
    <w:rsid w:val="002C41BC"/>
    <w:rsid w:val="002C4C8F"/>
    <w:rsid w:val="002D33EF"/>
    <w:rsid w:val="002D636B"/>
    <w:rsid w:val="002D6ACF"/>
    <w:rsid w:val="002E2FF2"/>
    <w:rsid w:val="002F0140"/>
    <w:rsid w:val="002F4AFE"/>
    <w:rsid w:val="002F4CD9"/>
    <w:rsid w:val="002F5148"/>
    <w:rsid w:val="002F5FD5"/>
    <w:rsid w:val="0030044B"/>
    <w:rsid w:val="00303F0D"/>
    <w:rsid w:val="0030535B"/>
    <w:rsid w:val="003067B1"/>
    <w:rsid w:val="003235AA"/>
    <w:rsid w:val="003315A2"/>
    <w:rsid w:val="00333778"/>
    <w:rsid w:val="003517F0"/>
    <w:rsid w:val="003540D0"/>
    <w:rsid w:val="00362842"/>
    <w:rsid w:val="00370B5A"/>
    <w:rsid w:val="003724FF"/>
    <w:rsid w:val="00372919"/>
    <w:rsid w:val="003811CF"/>
    <w:rsid w:val="00381552"/>
    <w:rsid w:val="00383E94"/>
    <w:rsid w:val="00387EDE"/>
    <w:rsid w:val="003917B8"/>
    <w:rsid w:val="00393159"/>
    <w:rsid w:val="003A6FB2"/>
    <w:rsid w:val="003B0920"/>
    <w:rsid w:val="003D4AD0"/>
    <w:rsid w:val="003E6D92"/>
    <w:rsid w:val="003F153C"/>
    <w:rsid w:val="00401436"/>
    <w:rsid w:val="00403DC7"/>
    <w:rsid w:val="00412631"/>
    <w:rsid w:val="004171B6"/>
    <w:rsid w:val="00422BA4"/>
    <w:rsid w:val="00432DCE"/>
    <w:rsid w:val="00433FE5"/>
    <w:rsid w:val="00435FC0"/>
    <w:rsid w:val="00452224"/>
    <w:rsid w:val="00453BD5"/>
    <w:rsid w:val="004742DE"/>
    <w:rsid w:val="004762F1"/>
    <w:rsid w:val="004A2EC1"/>
    <w:rsid w:val="004B6E56"/>
    <w:rsid w:val="004E25B9"/>
    <w:rsid w:val="004F4D44"/>
    <w:rsid w:val="004F5B7E"/>
    <w:rsid w:val="00504721"/>
    <w:rsid w:val="0050598E"/>
    <w:rsid w:val="00515B1C"/>
    <w:rsid w:val="00524553"/>
    <w:rsid w:val="005333D2"/>
    <w:rsid w:val="00534403"/>
    <w:rsid w:val="0053675E"/>
    <w:rsid w:val="00537D7A"/>
    <w:rsid w:val="00540734"/>
    <w:rsid w:val="00543250"/>
    <w:rsid w:val="00552BE6"/>
    <w:rsid w:val="00565FD7"/>
    <w:rsid w:val="005660F3"/>
    <w:rsid w:val="005668D7"/>
    <w:rsid w:val="00574951"/>
    <w:rsid w:val="00575FB1"/>
    <w:rsid w:val="005816DB"/>
    <w:rsid w:val="00583364"/>
    <w:rsid w:val="00594B5F"/>
    <w:rsid w:val="00596182"/>
    <w:rsid w:val="005A5B45"/>
    <w:rsid w:val="005B193D"/>
    <w:rsid w:val="005B4464"/>
    <w:rsid w:val="005B4966"/>
    <w:rsid w:val="005C0606"/>
    <w:rsid w:val="005C7642"/>
    <w:rsid w:val="005D0297"/>
    <w:rsid w:val="005D2C21"/>
    <w:rsid w:val="005E3614"/>
    <w:rsid w:val="005E4C78"/>
    <w:rsid w:val="005E5D1E"/>
    <w:rsid w:val="005F0B3D"/>
    <w:rsid w:val="005F57EB"/>
    <w:rsid w:val="00600839"/>
    <w:rsid w:val="006024D5"/>
    <w:rsid w:val="0060271B"/>
    <w:rsid w:val="00606E27"/>
    <w:rsid w:val="006146DF"/>
    <w:rsid w:val="00617E55"/>
    <w:rsid w:val="00631064"/>
    <w:rsid w:val="00634056"/>
    <w:rsid w:val="00646117"/>
    <w:rsid w:val="0065028E"/>
    <w:rsid w:val="00652B94"/>
    <w:rsid w:val="006863E2"/>
    <w:rsid w:val="006A4AC4"/>
    <w:rsid w:val="006A6A50"/>
    <w:rsid w:val="006B79FA"/>
    <w:rsid w:val="006C183A"/>
    <w:rsid w:val="006D1A5E"/>
    <w:rsid w:val="006D2EF1"/>
    <w:rsid w:val="006D46E7"/>
    <w:rsid w:val="006D58E5"/>
    <w:rsid w:val="006E0714"/>
    <w:rsid w:val="006E080B"/>
    <w:rsid w:val="006F22C8"/>
    <w:rsid w:val="006F4586"/>
    <w:rsid w:val="006F79A4"/>
    <w:rsid w:val="00701E85"/>
    <w:rsid w:val="00702717"/>
    <w:rsid w:val="00706292"/>
    <w:rsid w:val="007115DF"/>
    <w:rsid w:val="0072041B"/>
    <w:rsid w:val="007231E0"/>
    <w:rsid w:val="007248C2"/>
    <w:rsid w:val="00734C6C"/>
    <w:rsid w:val="00735703"/>
    <w:rsid w:val="00741BB2"/>
    <w:rsid w:val="00741C87"/>
    <w:rsid w:val="00741F18"/>
    <w:rsid w:val="007445C1"/>
    <w:rsid w:val="00762C4C"/>
    <w:rsid w:val="00762EB1"/>
    <w:rsid w:val="00770983"/>
    <w:rsid w:val="0077645F"/>
    <w:rsid w:val="007772FF"/>
    <w:rsid w:val="00777710"/>
    <w:rsid w:val="007827E8"/>
    <w:rsid w:val="00785033"/>
    <w:rsid w:val="00785A12"/>
    <w:rsid w:val="0079087A"/>
    <w:rsid w:val="00791F8A"/>
    <w:rsid w:val="00792735"/>
    <w:rsid w:val="007957EA"/>
    <w:rsid w:val="007B2EA5"/>
    <w:rsid w:val="007C0644"/>
    <w:rsid w:val="007C31B7"/>
    <w:rsid w:val="007D2551"/>
    <w:rsid w:val="007F1925"/>
    <w:rsid w:val="007F3AA1"/>
    <w:rsid w:val="007F5349"/>
    <w:rsid w:val="008000F2"/>
    <w:rsid w:val="00801951"/>
    <w:rsid w:val="00811340"/>
    <w:rsid w:val="00817918"/>
    <w:rsid w:val="00830A75"/>
    <w:rsid w:val="0083109B"/>
    <w:rsid w:val="00832B84"/>
    <w:rsid w:val="008341B3"/>
    <w:rsid w:val="008366E8"/>
    <w:rsid w:val="00840F88"/>
    <w:rsid w:val="00843399"/>
    <w:rsid w:val="00843F81"/>
    <w:rsid w:val="00847E02"/>
    <w:rsid w:val="00860283"/>
    <w:rsid w:val="00861E6F"/>
    <w:rsid w:val="00864541"/>
    <w:rsid w:val="0088726F"/>
    <w:rsid w:val="008873B7"/>
    <w:rsid w:val="00887C18"/>
    <w:rsid w:val="00892F53"/>
    <w:rsid w:val="00893BE2"/>
    <w:rsid w:val="008A1FE0"/>
    <w:rsid w:val="008A52B6"/>
    <w:rsid w:val="008B0526"/>
    <w:rsid w:val="008B2007"/>
    <w:rsid w:val="008B4F60"/>
    <w:rsid w:val="008C08C3"/>
    <w:rsid w:val="008C09EC"/>
    <w:rsid w:val="008C1474"/>
    <w:rsid w:val="008C41DB"/>
    <w:rsid w:val="008C5D50"/>
    <w:rsid w:val="008E26D1"/>
    <w:rsid w:val="008E3EDB"/>
    <w:rsid w:val="008F2D0F"/>
    <w:rsid w:val="008F3BBB"/>
    <w:rsid w:val="0090682C"/>
    <w:rsid w:val="00914951"/>
    <w:rsid w:val="00952DAA"/>
    <w:rsid w:val="00953D5C"/>
    <w:rsid w:val="00961B90"/>
    <w:rsid w:val="00971B75"/>
    <w:rsid w:val="00972173"/>
    <w:rsid w:val="00974ED9"/>
    <w:rsid w:val="0097640D"/>
    <w:rsid w:val="009810DE"/>
    <w:rsid w:val="0099284B"/>
    <w:rsid w:val="00997869"/>
    <w:rsid w:val="009A3DBF"/>
    <w:rsid w:val="009A53D5"/>
    <w:rsid w:val="009A7557"/>
    <w:rsid w:val="009B09B3"/>
    <w:rsid w:val="009B2551"/>
    <w:rsid w:val="009B6799"/>
    <w:rsid w:val="009C571C"/>
    <w:rsid w:val="009D2C7C"/>
    <w:rsid w:val="009D6352"/>
    <w:rsid w:val="009E76EA"/>
    <w:rsid w:val="00A11352"/>
    <w:rsid w:val="00A12DA2"/>
    <w:rsid w:val="00A13F95"/>
    <w:rsid w:val="00A156E2"/>
    <w:rsid w:val="00A22A8E"/>
    <w:rsid w:val="00A26424"/>
    <w:rsid w:val="00A372D7"/>
    <w:rsid w:val="00A373E8"/>
    <w:rsid w:val="00A42536"/>
    <w:rsid w:val="00A428DB"/>
    <w:rsid w:val="00A432BA"/>
    <w:rsid w:val="00A451FB"/>
    <w:rsid w:val="00A46E25"/>
    <w:rsid w:val="00A509CA"/>
    <w:rsid w:val="00A56C33"/>
    <w:rsid w:val="00A66140"/>
    <w:rsid w:val="00A66763"/>
    <w:rsid w:val="00A81E39"/>
    <w:rsid w:val="00A835A6"/>
    <w:rsid w:val="00A861A9"/>
    <w:rsid w:val="00A92FB8"/>
    <w:rsid w:val="00AA0BAF"/>
    <w:rsid w:val="00AB1C60"/>
    <w:rsid w:val="00AB1C7F"/>
    <w:rsid w:val="00AB3B4E"/>
    <w:rsid w:val="00AB4824"/>
    <w:rsid w:val="00AB6CEC"/>
    <w:rsid w:val="00AC7D97"/>
    <w:rsid w:val="00AD3A06"/>
    <w:rsid w:val="00AD66F3"/>
    <w:rsid w:val="00AD7B4B"/>
    <w:rsid w:val="00AE0859"/>
    <w:rsid w:val="00AE1DE5"/>
    <w:rsid w:val="00AE7BBD"/>
    <w:rsid w:val="00AF32CD"/>
    <w:rsid w:val="00B0031A"/>
    <w:rsid w:val="00B056D8"/>
    <w:rsid w:val="00B10992"/>
    <w:rsid w:val="00B16BCB"/>
    <w:rsid w:val="00B21FC1"/>
    <w:rsid w:val="00B26B2E"/>
    <w:rsid w:val="00B33074"/>
    <w:rsid w:val="00B41C01"/>
    <w:rsid w:val="00B420DD"/>
    <w:rsid w:val="00B435EA"/>
    <w:rsid w:val="00B45E64"/>
    <w:rsid w:val="00B51269"/>
    <w:rsid w:val="00B551B2"/>
    <w:rsid w:val="00B71D3A"/>
    <w:rsid w:val="00B81778"/>
    <w:rsid w:val="00B95404"/>
    <w:rsid w:val="00BB55E9"/>
    <w:rsid w:val="00BC4591"/>
    <w:rsid w:val="00BC7968"/>
    <w:rsid w:val="00BE3D72"/>
    <w:rsid w:val="00BE4EE0"/>
    <w:rsid w:val="00C032EE"/>
    <w:rsid w:val="00C06574"/>
    <w:rsid w:val="00C073EB"/>
    <w:rsid w:val="00C076DD"/>
    <w:rsid w:val="00C2076F"/>
    <w:rsid w:val="00C43471"/>
    <w:rsid w:val="00C450CD"/>
    <w:rsid w:val="00C519DE"/>
    <w:rsid w:val="00C53A5E"/>
    <w:rsid w:val="00C53E9C"/>
    <w:rsid w:val="00C55183"/>
    <w:rsid w:val="00C563D3"/>
    <w:rsid w:val="00C743F9"/>
    <w:rsid w:val="00C7550C"/>
    <w:rsid w:val="00C8087E"/>
    <w:rsid w:val="00C8115E"/>
    <w:rsid w:val="00C85025"/>
    <w:rsid w:val="00CA2290"/>
    <w:rsid w:val="00CA4E47"/>
    <w:rsid w:val="00CB644B"/>
    <w:rsid w:val="00CC15E9"/>
    <w:rsid w:val="00CD17F0"/>
    <w:rsid w:val="00CE0212"/>
    <w:rsid w:val="00CE1F7E"/>
    <w:rsid w:val="00CE5DE2"/>
    <w:rsid w:val="00CF141C"/>
    <w:rsid w:val="00CF6B7B"/>
    <w:rsid w:val="00D1030D"/>
    <w:rsid w:val="00D1460E"/>
    <w:rsid w:val="00D17712"/>
    <w:rsid w:val="00D2052E"/>
    <w:rsid w:val="00D209F4"/>
    <w:rsid w:val="00D218EC"/>
    <w:rsid w:val="00D3460D"/>
    <w:rsid w:val="00D34EBC"/>
    <w:rsid w:val="00D42EAC"/>
    <w:rsid w:val="00D54E99"/>
    <w:rsid w:val="00D671D5"/>
    <w:rsid w:val="00D677FA"/>
    <w:rsid w:val="00D8036F"/>
    <w:rsid w:val="00D8146A"/>
    <w:rsid w:val="00D83FE2"/>
    <w:rsid w:val="00D84CBF"/>
    <w:rsid w:val="00D86AF0"/>
    <w:rsid w:val="00D912CC"/>
    <w:rsid w:val="00D91C81"/>
    <w:rsid w:val="00D92548"/>
    <w:rsid w:val="00D948CF"/>
    <w:rsid w:val="00D975AE"/>
    <w:rsid w:val="00DA3991"/>
    <w:rsid w:val="00DA500A"/>
    <w:rsid w:val="00DA5938"/>
    <w:rsid w:val="00DA76EE"/>
    <w:rsid w:val="00DB28EE"/>
    <w:rsid w:val="00DB602A"/>
    <w:rsid w:val="00DB6F0E"/>
    <w:rsid w:val="00DC1644"/>
    <w:rsid w:val="00DC32E8"/>
    <w:rsid w:val="00DD2D07"/>
    <w:rsid w:val="00DD38FB"/>
    <w:rsid w:val="00DD5364"/>
    <w:rsid w:val="00DE5AE8"/>
    <w:rsid w:val="00DE6004"/>
    <w:rsid w:val="00E05928"/>
    <w:rsid w:val="00E12F53"/>
    <w:rsid w:val="00E137C5"/>
    <w:rsid w:val="00E14533"/>
    <w:rsid w:val="00E212BE"/>
    <w:rsid w:val="00E415AA"/>
    <w:rsid w:val="00E42CE0"/>
    <w:rsid w:val="00E46081"/>
    <w:rsid w:val="00E50C0B"/>
    <w:rsid w:val="00E560A8"/>
    <w:rsid w:val="00E57915"/>
    <w:rsid w:val="00E667B7"/>
    <w:rsid w:val="00E6746C"/>
    <w:rsid w:val="00E755E5"/>
    <w:rsid w:val="00E75868"/>
    <w:rsid w:val="00E84F06"/>
    <w:rsid w:val="00E877AF"/>
    <w:rsid w:val="00E91859"/>
    <w:rsid w:val="00EA709E"/>
    <w:rsid w:val="00EB49B2"/>
    <w:rsid w:val="00EC4660"/>
    <w:rsid w:val="00EC6A9C"/>
    <w:rsid w:val="00ED2639"/>
    <w:rsid w:val="00ED2A2E"/>
    <w:rsid w:val="00ED64B3"/>
    <w:rsid w:val="00EE356F"/>
    <w:rsid w:val="00EE35D0"/>
    <w:rsid w:val="00EE40A7"/>
    <w:rsid w:val="00EE62CE"/>
    <w:rsid w:val="00EE6679"/>
    <w:rsid w:val="00EF120D"/>
    <w:rsid w:val="00EF4BD3"/>
    <w:rsid w:val="00EF757A"/>
    <w:rsid w:val="00F0224F"/>
    <w:rsid w:val="00F05363"/>
    <w:rsid w:val="00F0538F"/>
    <w:rsid w:val="00F06960"/>
    <w:rsid w:val="00F1247D"/>
    <w:rsid w:val="00F15173"/>
    <w:rsid w:val="00F175A5"/>
    <w:rsid w:val="00F20309"/>
    <w:rsid w:val="00F21A1A"/>
    <w:rsid w:val="00F31323"/>
    <w:rsid w:val="00F51093"/>
    <w:rsid w:val="00F51221"/>
    <w:rsid w:val="00F702D4"/>
    <w:rsid w:val="00F72C2E"/>
    <w:rsid w:val="00F72E73"/>
    <w:rsid w:val="00F82BAB"/>
    <w:rsid w:val="00F9197B"/>
    <w:rsid w:val="00F94F56"/>
    <w:rsid w:val="00F9517F"/>
    <w:rsid w:val="00F95B4C"/>
    <w:rsid w:val="00FA135A"/>
    <w:rsid w:val="00FB41E5"/>
    <w:rsid w:val="00FC3739"/>
    <w:rsid w:val="00FC55B0"/>
    <w:rsid w:val="00FD267C"/>
    <w:rsid w:val="00FE0936"/>
    <w:rsid w:val="00FE3C4F"/>
    <w:rsid w:val="00FE7145"/>
    <w:rsid w:val="01051E0D"/>
    <w:rsid w:val="019C8467"/>
    <w:rsid w:val="01F86D94"/>
    <w:rsid w:val="02074DF9"/>
    <w:rsid w:val="0312A3F7"/>
    <w:rsid w:val="0373ED4B"/>
    <w:rsid w:val="0500CFFA"/>
    <w:rsid w:val="0532812B"/>
    <w:rsid w:val="054A9B0F"/>
    <w:rsid w:val="059FD46D"/>
    <w:rsid w:val="05D698AB"/>
    <w:rsid w:val="060A2600"/>
    <w:rsid w:val="062CCAE6"/>
    <w:rsid w:val="0693CEE3"/>
    <w:rsid w:val="07338E09"/>
    <w:rsid w:val="07F23CFE"/>
    <w:rsid w:val="080F9736"/>
    <w:rsid w:val="089164D6"/>
    <w:rsid w:val="094FE398"/>
    <w:rsid w:val="0950698B"/>
    <w:rsid w:val="0994FFC0"/>
    <w:rsid w:val="09D0A1D8"/>
    <w:rsid w:val="0A20FDF3"/>
    <w:rsid w:val="0AA6A73B"/>
    <w:rsid w:val="0B199058"/>
    <w:rsid w:val="0B86CC7A"/>
    <w:rsid w:val="0BE5CFDC"/>
    <w:rsid w:val="0C917FA6"/>
    <w:rsid w:val="0CE9AAAE"/>
    <w:rsid w:val="0D708AEA"/>
    <w:rsid w:val="0D9E618E"/>
    <w:rsid w:val="0E0CC7A3"/>
    <w:rsid w:val="0E47F52E"/>
    <w:rsid w:val="0EEF62A8"/>
    <w:rsid w:val="0F34EF16"/>
    <w:rsid w:val="0F4CF75B"/>
    <w:rsid w:val="0FC670BC"/>
    <w:rsid w:val="1004A2FD"/>
    <w:rsid w:val="1069CEB0"/>
    <w:rsid w:val="10B59010"/>
    <w:rsid w:val="1220D8FA"/>
    <w:rsid w:val="123A078F"/>
    <w:rsid w:val="12E5694B"/>
    <w:rsid w:val="130D01FB"/>
    <w:rsid w:val="14748A89"/>
    <w:rsid w:val="1507D05D"/>
    <w:rsid w:val="15F2E064"/>
    <w:rsid w:val="1630022E"/>
    <w:rsid w:val="167B1358"/>
    <w:rsid w:val="16B12466"/>
    <w:rsid w:val="16C9D61C"/>
    <w:rsid w:val="16CBD706"/>
    <w:rsid w:val="16FD9D93"/>
    <w:rsid w:val="181AA0C9"/>
    <w:rsid w:val="187975F3"/>
    <w:rsid w:val="187D5089"/>
    <w:rsid w:val="18981C42"/>
    <w:rsid w:val="19440A4D"/>
    <w:rsid w:val="19D6D390"/>
    <w:rsid w:val="19F96EE3"/>
    <w:rsid w:val="1A3C74AB"/>
    <w:rsid w:val="1A6B7FED"/>
    <w:rsid w:val="1AFAB02E"/>
    <w:rsid w:val="1B1D0D56"/>
    <w:rsid w:val="1B4F6971"/>
    <w:rsid w:val="1B734181"/>
    <w:rsid w:val="1C17F780"/>
    <w:rsid w:val="1C68A5A3"/>
    <w:rsid w:val="1C72CDE6"/>
    <w:rsid w:val="1CE7BCD9"/>
    <w:rsid w:val="1DA2FD12"/>
    <w:rsid w:val="1DBF7A10"/>
    <w:rsid w:val="1E0AF200"/>
    <w:rsid w:val="1E875DFF"/>
    <w:rsid w:val="1EA24242"/>
    <w:rsid w:val="1EF8F377"/>
    <w:rsid w:val="201597F7"/>
    <w:rsid w:val="2047AB71"/>
    <w:rsid w:val="20BFA7AC"/>
    <w:rsid w:val="20C4F0C9"/>
    <w:rsid w:val="21CEDFE2"/>
    <w:rsid w:val="224BA9C7"/>
    <w:rsid w:val="22B99EA0"/>
    <w:rsid w:val="2337B4F9"/>
    <w:rsid w:val="2340088A"/>
    <w:rsid w:val="2363597C"/>
    <w:rsid w:val="236F26D2"/>
    <w:rsid w:val="24355F23"/>
    <w:rsid w:val="24689A54"/>
    <w:rsid w:val="249FE953"/>
    <w:rsid w:val="25EB7AE4"/>
    <w:rsid w:val="26DDF9D6"/>
    <w:rsid w:val="278CDE79"/>
    <w:rsid w:val="28B146A0"/>
    <w:rsid w:val="28E6CC6E"/>
    <w:rsid w:val="28EF2F2B"/>
    <w:rsid w:val="293BF2C0"/>
    <w:rsid w:val="294A3DB9"/>
    <w:rsid w:val="2A681C27"/>
    <w:rsid w:val="2A734855"/>
    <w:rsid w:val="2AE2F7D3"/>
    <w:rsid w:val="2AF6DBC2"/>
    <w:rsid w:val="2B676A53"/>
    <w:rsid w:val="2BA60779"/>
    <w:rsid w:val="2C296FBD"/>
    <w:rsid w:val="2CA9EC58"/>
    <w:rsid w:val="2CACC145"/>
    <w:rsid w:val="2CC2E399"/>
    <w:rsid w:val="2D395949"/>
    <w:rsid w:val="2D51B5D6"/>
    <w:rsid w:val="2D5431AC"/>
    <w:rsid w:val="2DA74486"/>
    <w:rsid w:val="2DE4B61C"/>
    <w:rsid w:val="2DEB0EDB"/>
    <w:rsid w:val="2DF6147D"/>
    <w:rsid w:val="2FC118E5"/>
    <w:rsid w:val="3058D180"/>
    <w:rsid w:val="306E45FF"/>
    <w:rsid w:val="30862014"/>
    <w:rsid w:val="30C5A248"/>
    <w:rsid w:val="3186D363"/>
    <w:rsid w:val="33271FB9"/>
    <w:rsid w:val="33A059F1"/>
    <w:rsid w:val="34244CD4"/>
    <w:rsid w:val="3489BA46"/>
    <w:rsid w:val="34A7F498"/>
    <w:rsid w:val="34B7D3DE"/>
    <w:rsid w:val="352C31E0"/>
    <w:rsid w:val="36DA4108"/>
    <w:rsid w:val="395D7AF8"/>
    <w:rsid w:val="39A3A6F5"/>
    <w:rsid w:val="3B153614"/>
    <w:rsid w:val="3B2F6741"/>
    <w:rsid w:val="3B3657E0"/>
    <w:rsid w:val="3C878F5A"/>
    <w:rsid w:val="3CDF96D4"/>
    <w:rsid w:val="3D1328C2"/>
    <w:rsid w:val="3F434B84"/>
    <w:rsid w:val="3F614DD8"/>
    <w:rsid w:val="3F663591"/>
    <w:rsid w:val="4072E8FC"/>
    <w:rsid w:val="41DB2FD8"/>
    <w:rsid w:val="42AF86CD"/>
    <w:rsid w:val="42D94E76"/>
    <w:rsid w:val="42E45E25"/>
    <w:rsid w:val="43156D05"/>
    <w:rsid w:val="44325BE0"/>
    <w:rsid w:val="44A84FD3"/>
    <w:rsid w:val="45A7ADEC"/>
    <w:rsid w:val="46806E39"/>
    <w:rsid w:val="46F40E64"/>
    <w:rsid w:val="46FF9BE1"/>
    <w:rsid w:val="4795DBE0"/>
    <w:rsid w:val="479D3D29"/>
    <w:rsid w:val="47F6B3A1"/>
    <w:rsid w:val="47F92CFC"/>
    <w:rsid w:val="4845D0E9"/>
    <w:rsid w:val="488CF5D7"/>
    <w:rsid w:val="48AAF1D0"/>
    <w:rsid w:val="48CA9225"/>
    <w:rsid w:val="492B8585"/>
    <w:rsid w:val="49E47BBC"/>
    <w:rsid w:val="4A284390"/>
    <w:rsid w:val="4B086FD0"/>
    <w:rsid w:val="4BB68DB5"/>
    <w:rsid w:val="4C4AF886"/>
    <w:rsid w:val="4CB805E0"/>
    <w:rsid w:val="4CCDB380"/>
    <w:rsid w:val="4CFD3246"/>
    <w:rsid w:val="4D51D0D4"/>
    <w:rsid w:val="4D550177"/>
    <w:rsid w:val="4D61CAD9"/>
    <w:rsid w:val="4D6D1677"/>
    <w:rsid w:val="4D9FD120"/>
    <w:rsid w:val="4E32E977"/>
    <w:rsid w:val="4E665151"/>
    <w:rsid w:val="4E723767"/>
    <w:rsid w:val="4E7630DF"/>
    <w:rsid w:val="4EE41BB5"/>
    <w:rsid w:val="4F0A8FE0"/>
    <w:rsid w:val="4FFEFA6C"/>
    <w:rsid w:val="5000DD96"/>
    <w:rsid w:val="5042CB4A"/>
    <w:rsid w:val="50563C10"/>
    <w:rsid w:val="50C15778"/>
    <w:rsid w:val="512F5A87"/>
    <w:rsid w:val="516651ED"/>
    <w:rsid w:val="51A4954F"/>
    <w:rsid w:val="534124F8"/>
    <w:rsid w:val="5366283E"/>
    <w:rsid w:val="53E94F36"/>
    <w:rsid w:val="53FE1AAE"/>
    <w:rsid w:val="556811E2"/>
    <w:rsid w:val="55B52DF3"/>
    <w:rsid w:val="566A0178"/>
    <w:rsid w:val="5955C365"/>
    <w:rsid w:val="59955435"/>
    <w:rsid w:val="5A253894"/>
    <w:rsid w:val="5A6B2640"/>
    <w:rsid w:val="5AC071A3"/>
    <w:rsid w:val="5B401F6C"/>
    <w:rsid w:val="5B7D12E9"/>
    <w:rsid w:val="5B96DDAA"/>
    <w:rsid w:val="5BCE259E"/>
    <w:rsid w:val="5C53CED6"/>
    <w:rsid w:val="5C9BF972"/>
    <w:rsid w:val="5CE2EB42"/>
    <w:rsid w:val="5D9B4067"/>
    <w:rsid w:val="5E3C29FD"/>
    <w:rsid w:val="5E45912F"/>
    <w:rsid w:val="5F33E982"/>
    <w:rsid w:val="607D3E5D"/>
    <w:rsid w:val="60BCEE7D"/>
    <w:rsid w:val="611AF292"/>
    <w:rsid w:val="61425D2F"/>
    <w:rsid w:val="61DE4CEE"/>
    <w:rsid w:val="61E9D75F"/>
    <w:rsid w:val="61F0B6D0"/>
    <w:rsid w:val="62C98F0D"/>
    <w:rsid w:val="63015A7E"/>
    <w:rsid w:val="63307566"/>
    <w:rsid w:val="639EE50A"/>
    <w:rsid w:val="64818B63"/>
    <w:rsid w:val="653FE390"/>
    <w:rsid w:val="6576A839"/>
    <w:rsid w:val="66455886"/>
    <w:rsid w:val="6645BFEA"/>
    <w:rsid w:val="67499AC3"/>
    <w:rsid w:val="679B9294"/>
    <w:rsid w:val="684A0820"/>
    <w:rsid w:val="68833B5F"/>
    <w:rsid w:val="68BC413D"/>
    <w:rsid w:val="68D37613"/>
    <w:rsid w:val="694AFA19"/>
    <w:rsid w:val="69B93A81"/>
    <w:rsid w:val="6A04720C"/>
    <w:rsid w:val="6D7CFF79"/>
    <w:rsid w:val="6E7BD1ED"/>
    <w:rsid w:val="70A31522"/>
    <w:rsid w:val="70A9636F"/>
    <w:rsid w:val="70E01978"/>
    <w:rsid w:val="712AFA7A"/>
    <w:rsid w:val="7197DB49"/>
    <w:rsid w:val="71AB2A29"/>
    <w:rsid w:val="71FFBF19"/>
    <w:rsid w:val="724185AD"/>
    <w:rsid w:val="7380F68B"/>
    <w:rsid w:val="746CF160"/>
    <w:rsid w:val="74771BB1"/>
    <w:rsid w:val="74862E60"/>
    <w:rsid w:val="75A2F517"/>
    <w:rsid w:val="75E31EA9"/>
    <w:rsid w:val="76D6B060"/>
    <w:rsid w:val="78636EB5"/>
    <w:rsid w:val="78E5C757"/>
    <w:rsid w:val="7951193F"/>
    <w:rsid w:val="79A061EF"/>
    <w:rsid w:val="79A68F23"/>
    <w:rsid w:val="79B99FEB"/>
    <w:rsid w:val="79D4F84B"/>
    <w:rsid w:val="7A1EF319"/>
    <w:rsid w:val="7A2409B3"/>
    <w:rsid w:val="7A4A83BE"/>
    <w:rsid w:val="7A50FE87"/>
    <w:rsid w:val="7A750E86"/>
    <w:rsid w:val="7AA1C80A"/>
    <w:rsid w:val="7AB4E204"/>
    <w:rsid w:val="7AF5744D"/>
    <w:rsid w:val="7B6851CC"/>
    <w:rsid w:val="7B748CB3"/>
    <w:rsid w:val="7B7A2C93"/>
    <w:rsid w:val="7B9FB863"/>
    <w:rsid w:val="7BBA82FD"/>
    <w:rsid w:val="7C8F4333"/>
    <w:rsid w:val="7C9B772F"/>
    <w:rsid w:val="7CA3CA06"/>
    <w:rsid w:val="7CA7CFB8"/>
    <w:rsid w:val="7CFA5C78"/>
    <w:rsid w:val="7F78B208"/>
    <w:rsid w:val="7F7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A82940"/>
  <w15:chartTrackingRefBased/>
  <w15:docId w15:val="{4C62F629-87CB-4D75-85BE-A559736C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CA"/>
  </w:style>
  <w:style w:type="paragraph" w:styleId="Footer">
    <w:name w:val="footer"/>
    <w:basedOn w:val="Normal"/>
    <w:link w:val="FooterChar"/>
    <w:uiPriority w:val="99"/>
    <w:unhideWhenUsed/>
    <w:rsid w:val="00A5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CA"/>
  </w:style>
  <w:style w:type="character" w:styleId="CommentReference">
    <w:name w:val="annotation reference"/>
    <w:basedOn w:val="DefaultParagraphFont"/>
    <w:uiPriority w:val="99"/>
    <w:semiHidden/>
    <w:unhideWhenUsed/>
    <w:rsid w:val="00E0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9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What are the reason(s) for people needing your Covid-19 related services?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Topline!$A$382:$A$392</c:f>
              <c:strCache>
                <c:ptCount val="11"/>
                <c:pt idx="0">
                  <c:v>They are shielding as a vulnerable group </c:v>
                </c:pt>
                <c:pt idx="1">
                  <c:v>They are self-isolating </c:v>
                </c:pt>
                <c:pt idx="2">
                  <c:v>They have Covid-19 </c:v>
                </c:pt>
                <c:pt idx="3">
                  <c:v>They were already receiving this service prior to Covid-19 </c:v>
                </c:pt>
                <c:pt idx="4">
                  <c:v>They have financial difficulties </c:v>
                </c:pt>
                <c:pt idx="5">
                  <c:v>They have lost their job(s) </c:v>
                </c:pt>
                <c:pt idx="6">
                  <c:v>They need support with technical/digital apps/services </c:v>
                </c:pt>
                <c:pt idx="7">
                  <c:v>They need online classes to replace previous face to face classes/support </c:v>
                </c:pt>
                <c:pt idx="8">
                  <c:v>Public transport has been limited/not seen as safe </c:v>
                </c:pt>
                <c:pt idx="9">
                  <c:v>Restaurants/cafes have not been open </c:v>
                </c:pt>
                <c:pt idx="10">
                  <c:v>Other (please specify) </c:v>
                </c:pt>
              </c:strCache>
            </c:strRef>
          </c:cat>
          <c:val>
            <c:numRef>
              <c:f>Topline!$C$382:$C$392</c:f>
              <c:numCache>
                <c:formatCode>0%</c:formatCode>
                <c:ptCount val="11"/>
                <c:pt idx="0">
                  <c:v>0.660377358490566</c:v>
                </c:pt>
                <c:pt idx="1">
                  <c:v>0.54716981132075471</c:v>
                </c:pt>
                <c:pt idx="2">
                  <c:v>0.16981132075471697</c:v>
                </c:pt>
                <c:pt idx="3">
                  <c:v>0.49056603773584906</c:v>
                </c:pt>
                <c:pt idx="4">
                  <c:v>0.58490566037735847</c:v>
                </c:pt>
                <c:pt idx="5">
                  <c:v>0.37735849056603776</c:v>
                </c:pt>
                <c:pt idx="6">
                  <c:v>0.24528301886792453</c:v>
                </c:pt>
                <c:pt idx="7">
                  <c:v>0.47169811320754718</c:v>
                </c:pt>
                <c:pt idx="8">
                  <c:v>0.22641509433962265</c:v>
                </c:pt>
                <c:pt idx="9">
                  <c:v>0.16981132075471697</c:v>
                </c:pt>
                <c:pt idx="10">
                  <c:v>0.28301886792452829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9-414D-9A3C-D01D55A4ED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18761440"/>
        <c:axId val="718761112"/>
      </c:barChart>
      <c:catAx>
        <c:axId val="7187614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8761112"/>
        <c:crosses val="autoZero"/>
        <c:auto val="1"/>
        <c:lblAlgn val="ctr"/>
        <c:lblOffset val="100"/>
        <c:noMultiLvlLbl val="0"/>
      </c:catAx>
      <c:valAx>
        <c:axId val="71876111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71876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6c72c6-e750-462d-b29d-66aaa55d3414">
      <UserInfo>
        <DisplayName>Watson, Melissa</DisplayName>
        <AccountId>3470</AccountId>
        <AccountType/>
      </UserInfo>
      <UserInfo>
        <DisplayName>Siba, Lea</DisplayName>
        <AccountId>4999</AccountId>
        <AccountType/>
      </UserInfo>
      <UserInfo>
        <DisplayName>Shaffelburg, Steve</DisplayName>
        <AccountId>4998</AccountId>
        <AccountType/>
      </UserInfo>
      <UserInfo>
        <DisplayName>Wiles, Richard</DisplayName>
        <AccountId>4011</AccountId>
        <AccountType/>
      </UserInfo>
      <UserInfo>
        <DisplayName>Maher, Matthew</DisplayName>
        <AccountId>3469</AccountId>
        <AccountType/>
      </UserInfo>
    </SharedWithUsers>
    <_ip_UnifiedCompliancePolicyUIAction xmlns="http://schemas.microsoft.com/sharepoint/v3" xsi:nil="true"/>
    <Owned_x0020_by xmlns="cfcf1a16-c06e-4184-b984-ef3b52eccf28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359708B13F944A69A14397606FBFA" ma:contentTypeVersion="15" ma:contentTypeDescription="Create a new document." ma:contentTypeScope="" ma:versionID="70bc18c0b15bbae94aac879bab8fe5c4">
  <xsd:schema xmlns:xsd="http://www.w3.org/2001/XMLSchema" xmlns:xs="http://www.w3.org/2001/XMLSchema" xmlns:p="http://schemas.microsoft.com/office/2006/metadata/properties" xmlns:ns1="http://schemas.microsoft.com/sharepoint/v3" xmlns:ns2="cfcf1a16-c06e-4184-b984-ef3b52eccf28" xmlns:ns3="e76c72c6-e750-462d-b29d-66aaa55d3414" targetNamespace="http://schemas.microsoft.com/office/2006/metadata/properties" ma:root="true" ma:fieldsID="73e12c22142254aefc1e6973e427840d" ns1:_="" ns2:_="" ns3:_="">
    <xsd:import namespace="http://schemas.microsoft.com/sharepoint/v3"/>
    <xsd:import namespace="cfcf1a16-c06e-4184-b984-ef3b52eccf28"/>
    <xsd:import namespace="e76c72c6-e750-462d-b29d-66aaa55d3414"/>
    <xsd:element name="properties">
      <xsd:complexType>
        <xsd:sequence>
          <xsd:element name="documentManagement">
            <xsd:complexType>
              <xsd:all>
                <xsd:element ref="ns2:Owned_x0020_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1a16-c06e-4184-b984-ef3b52eccf28" elementFormDefault="qualified">
    <xsd:import namespace="http://schemas.microsoft.com/office/2006/documentManagement/types"/>
    <xsd:import namespace="http://schemas.microsoft.com/office/infopath/2007/PartnerControls"/>
    <xsd:element name="Owned_x0020_by" ma:index="8" nillable="true" ma:displayName="Owned by" ma:format="Dropdown" ma:internalName="Owned_x0020_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ve"/>
                    <xsd:enumeration value="Older people"/>
                    <xsd:enumeration value="Learning disability"/>
                    <xsd:enumeration value="Mental health"/>
                    <xsd:enumeration value="FOIs"/>
                    <xsd:enumeration value="Governance"/>
                    <xsd:enumeration value="Team information"/>
                    <xsd:enumeration value="Fee uplifts"/>
                    <xsd:enumeration value="Joint"/>
                    <xsd:enumeration value="Richmond"/>
                    <xsd:enumeration value="Wandsworth"/>
                    <xsd:enumeration value="Autism SAF 2018"/>
                    <xsd:enumeration value="Respite service"/>
                    <xsd:enumeration value="Right Care Right Place"/>
                    <xsd:enumeration value="Shared lives"/>
                    <xsd:enumeration value="Strategic planning"/>
                    <xsd:enumeration value="Project Management"/>
                    <xsd:enumeration value="Comms and engagement"/>
                    <xsd:enumeration value="Finance"/>
                    <xsd:enumeration value="Meetings"/>
                    <xsd:enumeration value="Correspondence"/>
                    <xsd:enumeration value="Governance"/>
                    <xsd:enumeration value="Provider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72c6-e750-462d-b29d-66aaa55d3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DA9EE-F213-4B74-A734-E3CF35545F19}">
  <ds:schemaRefs>
    <ds:schemaRef ds:uri="http://schemas.microsoft.com/office/2006/metadata/properties"/>
    <ds:schemaRef ds:uri="http://schemas.microsoft.com/office/infopath/2007/PartnerControls"/>
    <ds:schemaRef ds:uri="e76c72c6-e750-462d-b29d-66aaa55d3414"/>
    <ds:schemaRef ds:uri="http://schemas.microsoft.com/sharepoint/v3"/>
    <ds:schemaRef ds:uri="cfcf1a16-c06e-4184-b984-ef3b52eccf28"/>
  </ds:schemaRefs>
</ds:datastoreItem>
</file>

<file path=customXml/itemProps2.xml><?xml version="1.0" encoding="utf-8"?>
<ds:datastoreItem xmlns:ds="http://schemas.openxmlformats.org/officeDocument/2006/customXml" ds:itemID="{EEC75DD8-D83F-4D92-9D47-62E49FACF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6DF6B-3457-4189-AE66-59B86A7E4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cf1a16-c06e-4184-b984-ef3b52eccf28"/>
    <ds:schemaRef ds:uri="e76c72c6-e750-462d-b29d-66aaa55d3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7553</Characters>
  <Application>Microsoft Office Word</Application>
  <DocSecurity>4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Paul</dc:creator>
  <cp:keywords/>
  <dc:description/>
  <cp:lastModifiedBy>Richard</cp:lastModifiedBy>
  <cp:revision>2</cp:revision>
  <dcterms:created xsi:type="dcterms:W3CDTF">2020-10-13T21:11:00Z</dcterms:created>
  <dcterms:modified xsi:type="dcterms:W3CDTF">2020-10-13T21:11:00Z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Paul.Banks@RichmondandWandsworth.gov.uk</vt:lpwstr>
  </property>
  <property fmtid="{D5CDD505-2E9C-101B-9397-08002B2CF9AE}" pid="5" name="MSIP_Label_763da656-5c75-4f6d-9461-4a3ce9a537cc_SetDate">
    <vt:lpwstr>2020-08-06T12:30:30.7360816Z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78bb6c8b-6ce5-458a-8791-8dfdad472328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0x0101006A6359708B13F944A69A14397606FBFA</vt:lpwstr>
  </property>
</Properties>
</file>