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D" w:rsidRDefault="005F426D" w:rsidP="00A25B01">
      <w:pPr>
        <w:ind w:left="0"/>
      </w:pPr>
    </w:p>
    <w:p w:rsidR="00176B75" w:rsidRDefault="00176B75" w:rsidP="00176B75">
      <w:pPr>
        <w:ind w:left="142"/>
      </w:pPr>
    </w:p>
    <w:p w:rsidR="00176B75" w:rsidRDefault="00176B75" w:rsidP="00176B75">
      <w:pPr>
        <w:ind w:left="142"/>
      </w:pPr>
    </w:p>
    <w:p w:rsidR="00176B75" w:rsidRPr="001A75EB" w:rsidRDefault="0014701B" w:rsidP="00176B75">
      <w:pPr>
        <w:ind w:left="142"/>
        <w:rPr>
          <w:b/>
          <w:color w:val="0070C0"/>
        </w:rPr>
      </w:pPr>
      <w:r>
        <w:rPr>
          <w:b/>
          <w:noProof/>
          <w:color w:val="0070C0"/>
          <w:lang w:eastAsia="en-GB"/>
        </w:rPr>
        <w:drawing>
          <wp:anchor distT="0" distB="0" distL="114300" distR="114300" simplePos="0" relativeHeight="251664384" behindDoc="1" locked="0" layoutInCell="1" allowOverlap="1">
            <wp:simplePos x="0" y="0"/>
            <wp:positionH relativeFrom="column">
              <wp:posOffset>7686675</wp:posOffset>
            </wp:positionH>
            <wp:positionV relativeFrom="paragraph">
              <wp:posOffset>-718185</wp:posOffset>
            </wp:positionV>
            <wp:extent cx="923925" cy="1019175"/>
            <wp:effectExtent l="19050" t="0" r="9525" b="0"/>
            <wp:wrapTight wrapText="bothSides">
              <wp:wrapPolygon edited="0">
                <wp:start x="-445" y="0"/>
                <wp:lineTo x="-445" y="21398"/>
                <wp:lineTo x="21823" y="21398"/>
                <wp:lineTo x="21823" y="0"/>
                <wp:lineTo x="-445" y="0"/>
              </wp:wrapPolygon>
            </wp:wrapTight>
            <wp:docPr id="1" name="Picture 0" descr="BIG_LOCAL_logo2a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LOCAL_logo2a small.jpg"/>
                    <pic:cNvPicPr/>
                  </pic:nvPicPr>
                  <pic:blipFill>
                    <a:blip r:embed="rId8" cstate="print"/>
                    <a:stretch>
                      <a:fillRect/>
                    </a:stretch>
                  </pic:blipFill>
                  <pic:spPr>
                    <a:xfrm>
                      <a:off x="0" y="0"/>
                      <a:ext cx="923925" cy="1019175"/>
                    </a:xfrm>
                    <a:prstGeom prst="rect">
                      <a:avLst/>
                    </a:prstGeom>
                  </pic:spPr>
                </pic:pic>
              </a:graphicData>
            </a:graphic>
          </wp:anchor>
        </w:drawing>
      </w:r>
      <w:r w:rsidR="00176B75" w:rsidRPr="001A75EB">
        <w:rPr>
          <w:b/>
          <w:color w:val="0070C0"/>
        </w:rPr>
        <w:t xml:space="preserve">Community and Belonging (CB) – </w:t>
      </w:r>
      <w:r w:rsidR="007E00A3">
        <w:rPr>
          <w:b/>
          <w:color w:val="0070C0"/>
        </w:rPr>
        <w:t>BLSW11 Legacy Projects</w:t>
      </w:r>
    </w:p>
    <w:p w:rsidR="00176B75" w:rsidRDefault="00176B75" w:rsidP="00176B75">
      <w:pPr>
        <w:ind w:left="142"/>
        <w:rPr>
          <w:b/>
          <w:color w:val="002060"/>
        </w:rPr>
      </w:pPr>
    </w:p>
    <w:p w:rsidR="00275671" w:rsidRDefault="00275671" w:rsidP="00176B75">
      <w:pPr>
        <w:ind w:left="142"/>
        <w:rPr>
          <w:szCs w:val="24"/>
        </w:rPr>
      </w:pPr>
      <w:r>
        <w:t xml:space="preserve">This paper follows the Community and Belonging Proposal, previously circulated </w:t>
      </w:r>
      <w:r w:rsidR="008C6344">
        <w:t xml:space="preserve">to </w:t>
      </w:r>
      <w:r>
        <w:t>and then considered by the Partnership Committee on the 16</w:t>
      </w:r>
      <w:r w:rsidRPr="00275671">
        <w:rPr>
          <w:vertAlign w:val="superscript"/>
        </w:rPr>
        <w:t>th</w:t>
      </w:r>
      <w:r>
        <w:t xml:space="preserve"> July 2020 (which can be read here: </w:t>
      </w:r>
      <w:hyperlink r:id="rId9" w:history="1">
        <w:r w:rsidRPr="00275671">
          <w:rPr>
            <w:rStyle w:val="Hyperlink"/>
            <w:sz w:val="20"/>
            <w:szCs w:val="20"/>
          </w:rPr>
          <w:t>https://www.biglocalsw11.co.uk/research/</w:t>
        </w:r>
      </w:hyperlink>
      <w:r>
        <w:rPr>
          <w:sz w:val="20"/>
          <w:szCs w:val="20"/>
        </w:rPr>
        <w:t>)</w:t>
      </w:r>
      <w:r w:rsidR="008C6344">
        <w:rPr>
          <w:sz w:val="20"/>
          <w:szCs w:val="20"/>
        </w:rPr>
        <w:t xml:space="preserve"> </w:t>
      </w:r>
      <w:r>
        <w:rPr>
          <w:szCs w:val="24"/>
        </w:rPr>
        <w:t>that set out the rationale for establishing a new committee.</w:t>
      </w:r>
    </w:p>
    <w:p w:rsidR="00275671" w:rsidRPr="00275671" w:rsidRDefault="00275671" w:rsidP="00176B75">
      <w:pPr>
        <w:ind w:left="142"/>
        <w:rPr>
          <w:szCs w:val="24"/>
        </w:rPr>
      </w:pPr>
      <w:r>
        <w:rPr>
          <w:szCs w:val="24"/>
        </w:rPr>
        <w:t xml:space="preserve">Here we consider what the new </w:t>
      </w:r>
      <w:r w:rsidR="0022341C">
        <w:rPr>
          <w:szCs w:val="24"/>
        </w:rPr>
        <w:t>committee might achieve by facilitating and enabling others.</w:t>
      </w:r>
    </w:p>
    <w:p w:rsidR="000276CF" w:rsidRDefault="00E22A7E" w:rsidP="00176B75">
      <w:pPr>
        <w:ind w:left="142"/>
      </w:pPr>
      <w:r>
        <w:t xml:space="preserve">The main aim of </w:t>
      </w:r>
      <w:r w:rsidR="008C6344">
        <w:t xml:space="preserve">our </w:t>
      </w:r>
      <w:r>
        <w:t>BLSW11 Strategy is to tackle Loneliness, Isolation Mental Health (Depression and Anxiety) in order to remove the barriers that prevent people from reaching their potential as workers, volunteers or members of our community.</w:t>
      </w:r>
    </w:p>
    <w:p w:rsidR="00E22A7E" w:rsidRDefault="00B458BA" w:rsidP="00176B75">
      <w:pPr>
        <w:ind w:left="142"/>
      </w:pPr>
      <w:r>
        <w:t xml:space="preserve">The underlying rationale of our approach is that this will be achievable if we, together with others, work to strengthen </w:t>
      </w:r>
      <w:r w:rsidRPr="00B458BA">
        <w:rPr>
          <w:b/>
          <w:color w:val="0070C0"/>
        </w:rPr>
        <w:t>‘social capital’</w:t>
      </w:r>
      <w:r>
        <w:rPr>
          <w:rStyle w:val="FootnoteReference"/>
        </w:rPr>
        <w:footnoteReference w:id="1"/>
      </w:r>
      <w:r>
        <w:t xml:space="preserve"> in the BLSW11 and Battersea area.</w:t>
      </w:r>
    </w:p>
    <w:p w:rsidR="000276CF" w:rsidRDefault="000276CF" w:rsidP="00176B75">
      <w:pPr>
        <w:ind w:left="142"/>
      </w:pPr>
      <w:r>
        <w:t xml:space="preserve">The recent appointments of a Battersea Youth Voice (BYV) worker and Volunteer Coordinator (funded 50/50 by BLSW11 and the Alliance) is our first major step </w:t>
      </w:r>
      <w:r w:rsidR="00870E52">
        <w:t xml:space="preserve">in </w:t>
      </w:r>
      <w:r>
        <w:t>building social capital.</w:t>
      </w:r>
    </w:p>
    <w:p w:rsidR="00E22A7E" w:rsidRDefault="00E22A7E" w:rsidP="00176B75">
      <w:pPr>
        <w:ind w:left="142"/>
      </w:pPr>
      <w:r>
        <w:t>Of our population of 17,355 it is estimated that 4,000 should be considered chronically lonely! (See Appendix</w:t>
      </w:r>
      <w:r w:rsidR="000276CF">
        <w:t xml:space="preserve"> 1</w:t>
      </w:r>
      <w:r>
        <w:t>)</w:t>
      </w:r>
    </w:p>
    <w:p w:rsidR="00176B75" w:rsidRDefault="00176B75" w:rsidP="00176B75">
      <w:pPr>
        <w:ind w:left="142"/>
      </w:pPr>
      <w:r>
        <w:t>The following CB ideas have emerged from consultations with local residents and organisations based in or working on the patch; several have been long standing aims of BLSW11 from its inception.</w:t>
      </w:r>
      <w:r w:rsidR="00B50538">
        <w:t xml:space="preserve"> It should be noted that many are also included in the BLSW11 A</w:t>
      </w:r>
      <w:r w:rsidR="00291CBF">
        <w:t>lliance Strategy, which may provide</w:t>
      </w:r>
      <w:r w:rsidR="00B50538">
        <w:t xml:space="preserve"> </w:t>
      </w:r>
      <w:r w:rsidR="00584737">
        <w:t>opportunities for match funding; some have been developed as a direct response to Covid-19.</w:t>
      </w:r>
    </w:p>
    <w:p w:rsidR="008C6344" w:rsidRDefault="00176B75" w:rsidP="00176B75">
      <w:pPr>
        <w:ind w:left="142"/>
      </w:pPr>
      <w:r>
        <w:t xml:space="preserve">A broad description of </w:t>
      </w:r>
      <w:r w:rsidRPr="00FD55C7">
        <w:rPr>
          <w:color w:val="0070C0"/>
        </w:rPr>
        <w:t>Inputs</w:t>
      </w:r>
      <w:r>
        <w:t xml:space="preserve"> (Resources needs) </w:t>
      </w:r>
      <w:r w:rsidRPr="00FD55C7">
        <w:rPr>
          <w:color w:val="0070C0"/>
        </w:rPr>
        <w:t>Outputs</w:t>
      </w:r>
      <w:r>
        <w:t xml:space="preserve"> (numbers involved, numbers benefitting and number of events and/or actions) </w:t>
      </w:r>
      <w:r w:rsidRPr="00FD55C7">
        <w:rPr>
          <w:color w:val="0070C0"/>
        </w:rPr>
        <w:t>Outcomes</w:t>
      </w:r>
      <w:r>
        <w:t xml:space="preserve"> (Impact or C</w:t>
      </w:r>
      <w:r w:rsidR="008C6344">
        <w:t>hanges)</w:t>
      </w:r>
      <w:r w:rsidR="004239C3">
        <w:t xml:space="preserve"> per year</w:t>
      </w:r>
      <w:r w:rsidR="008C6344">
        <w:t xml:space="preserve"> is provided as a </w:t>
      </w:r>
      <w:r w:rsidR="00075069">
        <w:t xml:space="preserve">rough </w:t>
      </w:r>
      <w:r w:rsidR="008C6344">
        <w:t>guide.</w:t>
      </w:r>
    </w:p>
    <w:p w:rsidR="00176B75" w:rsidRDefault="00176B75" w:rsidP="00176B75">
      <w:pPr>
        <w:ind w:left="142"/>
      </w:pPr>
      <w:r>
        <w:t xml:space="preserve">The viability of each of the ideas will depend on resources, including match funding, </w:t>
      </w:r>
      <w:r w:rsidR="00C86506">
        <w:t xml:space="preserve">Partnerships, </w:t>
      </w:r>
      <w:r>
        <w:t>capacity and BLSW11 resident led support.</w:t>
      </w:r>
    </w:p>
    <w:p w:rsidR="004239C3" w:rsidRDefault="004239C3" w:rsidP="00176B75">
      <w:pPr>
        <w:ind w:left="142"/>
      </w:pPr>
      <w:r>
        <w:t>Where possible we will want to identify local groups/organisations as delivery partners.</w:t>
      </w:r>
    </w:p>
    <w:p w:rsidR="00B458BA" w:rsidRDefault="00B458BA" w:rsidP="00176B75">
      <w:pPr>
        <w:ind w:left="142"/>
        <w:sectPr w:rsidR="00B458BA" w:rsidSect="00B458B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276" w:header="708" w:footer="708" w:gutter="0"/>
          <w:cols w:space="708"/>
          <w:docGrid w:linePitch="360"/>
        </w:sectPr>
      </w:pPr>
    </w:p>
    <w:p w:rsidR="00B458BA" w:rsidRPr="00C87721" w:rsidRDefault="00B458BA" w:rsidP="00176B75">
      <w:pPr>
        <w:ind w:left="142"/>
      </w:pPr>
    </w:p>
    <w:p w:rsidR="00176B75" w:rsidRDefault="00176B75" w:rsidP="00176B75">
      <w:pPr>
        <w:pStyle w:val="ListParagraph"/>
        <w:ind w:left="502"/>
        <w:rPr>
          <w:b/>
          <w:color w:val="002060"/>
        </w:rPr>
      </w:pPr>
    </w:p>
    <w:tbl>
      <w:tblPr>
        <w:tblStyle w:val="TableGrid"/>
        <w:tblW w:w="5128" w:type="pct"/>
        <w:tblInd w:w="-176" w:type="dxa"/>
        <w:tblLayout w:type="fixed"/>
        <w:tblLook w:val="04A0"/>
      </w:tblPr>
      <w:tblGrid>
        <w:gridCol w:w="6852"/>
        <w:gridCol w:w="2206"/>
        <w:gridCol w:w="2206"/>
        <w:gridCol w:w="2206"/>
        <w:gridCol w:w="1557"/>
      </w:tblGrid>
      <w:tr w:rsidR="00981C3C" w:rsidTr="00480B82">
        <w:tc>
          <w:tcPr>
            <w:tcW w:w="2280" w:type="pct"/>
            <w:shd w:val="clear" w:color="auto" w:fill="auto"/>
          </w:tcPr>
          <w:p w:rsidR="00981C3C" w:rsidRPr="00C713C1" w:rsidRDefault="00981C3C" w:rsidP="004519F0">
            <w:pPr>
              <w:pStyle w:val="ListParagraph"/>
              <w:ind w:left="65"/>
              <w:jc w:val="center"/>
              <w:rPr>
                <w:b/>
                <w:color w:val="0070C0"/>
              </w:rPr>
            </w:pPr>
            <w:r w:rsidRPr="00C713C1">
              <w:rPr>
                <w:b/>
                <w:color w:val="0070C0"/>
              </w:rPr>
              <w:t>Project</w:t>
            </w:r>
          </w:p>
        </w:tc>
        <w:tc>
          <w:tcPr>
            <w:tcW w:w="734" w:type="pct"/>
            <w:shd w:val="clear" w:color="auto" w:fill="auto"/>
          </w:tcPr>
          <w:p w:rsidR="00981C3C" w:rsidRDefault="00981C3C" w:rsidP="00C86506">
            <w:pPr>
              <w:pStyle w:val="ListParagraph"/>
              <w:ind w:left="0"/>
              <w:jc w:val="center"/>
              <w:rPr>
                <w:b/>
                <w:color w:val="548DD4" w:themeColor="text2" w:themeTint="99"/>
              </w:rPr>
            </w:pPr>
            <w:r w:rsidRPr="003940BD">
              <w:rPr>
                <w:b/>
                <w:color w:val="0070C0"/>
              </w:rPr>
              <w:t>Inputs</w:t>
            </w:r>
          </w:p>
        </w:tc>
        <w:tc>
          <w:tcPr>
            <w:tcW w:w="734" w:type="pct"/>
            <w:shd w:val="clear" w:color="auto" w:fill="auto"/>
          </w:tcPr>
          <w:p w:rsidR="00981C3C" w:rsidRPr="00C713C1" w:rsidRDefault="00981C3C" w:rsidP="007A6BD4">
            <w:pPr>
              <w:pStyle w:val="ListParagraph"/>
              <w:ind w:left="0"/>
              <w:jc w:val="center"/>
              <w:rPr>
                <w:b/>
                <w:color w:val="0070C0"/>
              </w:rPr>
            </w:pPr>
            <w:r w:rsidRPr="00C713C1">
              <w:rPr>
                <w:b/>
                <w:color w:val="0070C0"/>
              </w:rPr>
              <w:t>Outputs</w:t>
            </w:r>
          </w:p>
        </w:tc>
        <w:tc>
          <w:tcPr>
            <w:tcW w:w="734" w:type="pct"/>
            <w:shd w:val="clear" w:color="auto" w:fill="auto"/>
          </w:tcPr>
          <w:p w:rsidR="00981C3C" w:rsidRDefault="00981C3C" w:rsidP="007A6BD4">
            <w:pPr>
              <w:pStyle w:val="ListParagraph"/>
              <w:ind w:left="0"/>
              <w:jc w:val="center"/>
              <w:rPr>
                <w:b/>
                <w:color w:val="548DD4" w:themeColor="text2" w:themeTint="99"/>
              </w:rPr>
            </w:pPr>
            <w:r w:rsidRPr="003940BD">
              <w:rPr>
                <w:b/>
                <w:color w:val="0070C0"/>
              </w:rPr>
              <w:t>Outcomes</w:t>
            </w:r>
          </w:p>
        </w:tc>
        <w:tc>
          <w:tcPr>
            <w:tcW w:w="518" w:type="pct"/>
            <w:shd w:val="clear" w:color="auto" w:fill="auto"/>
          </w:tcPr>
          <w:p w:rsidR="00981C3C" w:rsidRPr="00F25C61" w:rsidRDefault="00981C3C" w:rsidP="00F25C61">
            <w:pPr>
              <w:pStyle w:val="ListParagraph"/>
              <w:ind w:left="0"/>
              <w:jc w:val="center"/>
              <w:rPr>
                <w:b/>
                <w:color w:val="0070C0"/>
                <w:sz w:val="20"/>
                <w:szCs w:val="20"/>
              </w:rPr>
            </w:pPr>
            <w:r w:rsidRPr="00F25C61">
              <w:rPr>
                <w:b/>
                <w:color w:val="0070C0"/>
                <w:sz w:val="20"/>
                <w:szCs w:val="20"/>
              </w:rPr>
              <w:t>£</w:t>
            </w:r>
          </w:p>
        </w:tc>
      </w:tr>
      <w:tr w:rsidR="000D517F" w:rsidTr="00480B82">
        <w:tc>
          <w:tcPr>
            <w:tcW w:w="2280" w:type="pct"/>
            <w:shd w:val="clear" w:color="auto" w:fill="auto"/>
          </w:tcPr>
          <w:p w:rsidR="000D517F" w:rsidRPr="00FD3EE5" w:rsidRDefault="000D517F" w:rsidP="00C756CA">
            <w:pPr>
              <w:pStyle w:val="ListParagraph"/>
              <w:numPr>
                <w:ilvl w:val="0"/>
                <w:numId w:val="1"/>
              </w:numPr>
              <w:ind w:left="709" w:hanging="284"/>
            </w:pPr>
            <w:r w:rsidRPr="003940BD">
              <w:rPr>
                <w:b/>
                <w:color w:val="0070C0"/>
              </w:rPr>
              <w:t>Men’s mental health</w:t>
            </w:r>
            <w:r>
              <w:t xml:space="preserve"> – to identify and work with men who might not feel able to approach conventional mental health services, to create a positive environment where personal issues and concerns can be </w:t>
            </w:r>
            <w:proofErr w:type="gramStart"/>
            <w:r>
              <w:t>discussed/addressed</w:t>
            </w:r>
            <w:proofErr w:type="gramEnd"/>
            <w:r>
              <w:t>.</w:t>
            </w:r>
          </w:p>
          <w:p w:rsidR="000D517F" w:rsidRDefault="000D517F" w:rsidP="00C756CA">
            <w:pPr>
              <w:ind w:left="743"/>
            </w:pPr>
          </w:p>
          <w:p w:rsidR="000D517F" w:rsidRPr="00FD3EE5" w:rsidRDefault="000D517F" w:rsidP="00C756CA">
            <w:pPr>
              <w:ind w:left="743"/>
            </w:pPr>
          </w:p>
          <w:p w:rsidR="000D517F" w:rsidRDefault="000D517F" w:rsidP="00C756CA">
            <w:pPr>
              <w:pStyle w:val="ListParagraph"/>
              <w:ind w:left="709" w:hanging="284"/>
              <w:rPr>
                <w:b/>
                <w:color w:val="548DD4" w:themeColor="text2" w:themeTint="99"/>
              </w:rPr>
            </w:pPr>
          </w:p>
        </w:tc>
        <w:tc>
          <w:tcPr>
            <w:tcW w:w="734" w:type="pct"/>
            <w:shd w:val="clear" w:color="auto" w:fill="auto"/>
          </w:tcPr>
          <w:p w:rsidR="000D517F" w:rsidRDefault="000D517F" w:rsidP="00C756CA">
            <w:pPr>
              <w:pStyle w:val="ListParagraph"/>
              <w:ind w:left="0"/>
            </w:pPr>
            <w:r>
              <w:t>BLSW11 lead</w:t>
            </w:r>
          </w:p>
          <w:p w:rsidR="000D517F" w:rsidRDefault="000D517F" w:rsidP="00C756CA">
            <w:pPr>
              <w:pStyle w:val="ListParagraph"/>
              <w:ind w:left="0"/>
            </w:pPr>
          </w:p>
          <w:p w:rsidR="000D517F" w:rsidRDefault="000D517F" w:rsidP="00C756CA">
            <w:pPr>
              <w:pStyle w:val="ListParagraph"/>
              <w:ind w:left="0"/>
            </w:pPr>
            <w:r>
              <w:t>PC support</w:t>
            </w:r>
          </w:p>
          <w:p w:rsidR="000D517F" w:rsidRDefault="000D517F" w:rsidP="00C756CA">
            <w:pPr>
              <w:pStyle w:val="ListParagraph"/>
              <w:ind w:left="0"/>
            </w:pPr>
          </w:p>
          <w:p w:rsidR="000D517F" w:rsidRDefault="000D517F" w:rsidP="00C756CA">
            <w:pPr>
              <w:pStyle w:val="ListParagraph"/>
              <w:ind w:left="0"/>
            </w:pPr>
            <w:r>
              <w:t>Publicity</w:t>
            </w:r>
          </w:p>
          <w:p w:rsidR="000D517F" w:rsidRDefault="000D517F" w:rsidP="00C756CA">
            <w:pPr>
              <w:pStyle w:val="ListParagraph"/>
              <w:ind w:left="0"/>
            </w:pPr>
          </w:p>
          <w:p w:rsidR="000D517F" w:rsidRDefault="000D517F" w:rsidP="00C756CA">
            <w:pPr>
              <w:pStyle w:val="ListParagraph"/>
              <w:ind w:left="0"/>
            </w:pPr>
            <w:r>
              <w:t>Project Management</w:t>
            </w:r>
          </w:p>
          <w:p w:rsidR="000D517F" w:rsidRDefault="000D517F" w:rsidP="00C756CA">
            <w:pPr>
              <w:pStyle w:val="ListParagraph"/>
              <w:ind w:left="0"/>
            </w:pPr>
          </w:p>
          <w:p w:rsidR="000D517F" w:rsidRPr="00373726" w:rsidRDefault="000D517F" w:rsidP="00C756CA">
            <w:pPr>
              <w:pStyle w:val="ListParagraph"/>
              <w:ind w:left="0"/>
            </w:pPr>
            <w:r>
              <w:t>Funding activities</w:t>
            </w:r>
          </w:p>
        </w:tc>
        <w:tc>
          <w:tcPr>
            <w:tcW w:w="734" w:type="pct"/>
            <w:shd w:val="clear" w:color="auto" w:fill="auto"/>
          </w:tcPr>
          <w:p w:rsidR="000D517F" w:rsidRPr="00373726" w:rsidRDefault="000D517F" w:rsidP="00C756CA">
            <w:pPr>
              <w:pStyle w:val="ListParagraph"/>
              <w:ind w:left="0"/>
            </w:pPr>
            <w:r w:rsidRPr="00373726">
              <w:t>20 x men a year</w:t>
            </w:r>
          </w:p>
        </w:tc>
        <w:tc>
          <w:tcPr>
            <w:tcW w:w="734" w:type="pct"/>
            <w:shd w:val="clear" w:color="auto" w:fill="auto"/>
          </w:tcPr>
          <w:p w:rsidR="000D517F" w:rsidRDefault="000D517F" w:rsidP="00C756CA">
            <w:pPr>
              <w:pStyle w:val="ListParagraph"/>
              <w:ind w:left="0"/>
            </w:pPr>
            <w:r>
              <w:t>Increased confidence</w:t>
            </w:r>
          </w:p>
          <w:p w:rsidR="000D517F" w:rsidRDefault="000D517F" w:rsidP="00C756CA">
            <w:pPr>
              <w:pStyle w:val="ListParagraph"/>
              <w:ind w:left="0"/>
            </w:pPr>
          </w:p>
          <w:p w:rsidR="000D517F" w:rsidRDefault="000D517F" w:rsidP="00C756CA">
            <w:pPr>
              <w:pStyle w:val="ListParagraph"/>
              <w:ind w:left="0"/>
            </w:pPr>
            <w:r>
              <w:t>Better access to information and advice</w:t>
            </w:r>
          </w:p>
          <w:p w:rsidR="000D517F" w:rsidRDefault="000D517F" w:rsidP="00C756CA">
            <w:pPr>
              <w:pStyle w:val="ListParagraph"/>
              <w:ind w:left="0"/>
            </w:pPr>
          </w:p>
          <w:p w:rsidR="000D517F" w:rsidRDefault="000D517F" w:rsidP="00C756CA">
            <w:pPr>
              <w:pStyle w:val="ListParagraph"/>
              <w:ind w:left="0"/>
            </w:pPr>
            <w:r>
              <w:t>Improved health</w:t>
            </w:r>
          </w:p>
          <w:p w:rsidR="000D517F" w:rsidRDefault="000D517F" w:rsidP="00C756CA">
            <w:pPr>
              <w:pStyle w:val="ListParagraph"/>
              <w:ind w:left="0"/>
            </w:pPr>
          </w:p>
          <w:p w:rsidR="000D517F" w:rsidRPr="00373726" w:rsidRDefault="000D517F" w:rsidP="00C756CA">
            <w:pPr>
              <w:pStyle w:val="ListParagraph"/>
              <w:ind w:left="0"/>
            </w:pPr>
          </w:p>
        </w:tc>
        <w:tc>
          <w:tcPr>
            <w:tcW w:w="518" w:type="pct"/>
            <w:shd w:val="clear" w:color="auto" w:fill="auto"/>
          </w:tcPr>
          <w:p w:rsidR="000D517F" w:rsidRPr="00981C3C" w:rsidRDefault="000D517F" w:rsidP="00C756CA">
            <w:pPr>
              <w:pStyle w:val="ListParagraph"/>
              <w:ind w:left="709" w:hanging="284"/>
              <w:jc w:val="right"/>
              <w:rPr>
                <w:sz w:val="20"/>
                <w:szCs w:val="20"/>
              </w:rPr>
            </w:pPr>
            <w:r>
              <w:rPr>
                <w:sz w:val="20"/>
                <w:szCs w:val="20"/>
              </w:rPr>
              <w:t>10000</w:t>
            </w:r>
          </w:p>
        </w:tc>
      </w:tr>
      <w:tr w:rsidR="000D517F" w:rsidTr="00480B82">
        <w:tc>
          <w:tcPr>
            <w:tcW w:w="2280" w:type="pct"/>
            <w:shd w:val="clear" w:color="auto" w:fill="auto"/>
          </w:tcPr>
          <w:p w:rsidR="000D517F" w:rsidRDefault="000D517F" w:rsidP="0014701B">
            <w:pPr>
              <w:pStyle w:val="ListParagraph"/>
              <w:numPr>
                <w:ilvl w:val="0"/>
                <w:numId w:val="1"/>
              </w:numPr>
              <w:ind w:left="709" w:hanging="284"/>
            </w:pPr>
            <w:r w:rsidRPr="003940BD">
              <w:rPr>
                <w:b/>
                <w:color w:val="0070C0"/>
              </w:rPr>
              <w:t>Community Champions</w:t>
            </w:r>
            <w:r w:rsidRPr="00C87721">
              <w:t xml:space="preserve"> – identify 4 people in the BLSW11 area that can act as the eyes and ears for their community, reporting back to the CB group on issues, ideas, project proposals.</w:t>
            </w:r>
          </w:p>
          <w:p w:rsidR="000D517F" w:rsidRDefault="000D517F" w:rsidP="0014701B">
            <w:pPr>
              <w:pStyle w:val="ListParagraph"/>
              <w:ind w:left="709" w:hanging="284"/>
            </w:pPr>
          </w:p>
          <w:p w:rsidR="000D517F" w:rsidRDefault="000D517F" w:rsidP="00EB2545">
            <w:pPr>
              <w:pStyle w:val="ListParagraph"/>
              <w:ind w:left="709"/>
            </w:pPr>
            <w:r>
              <w:t>The terms of reference for this work to include a particular attention to the most vulnerable including older people, people with disabilities and/or mental health issues.</w:t>
            </w:r>
          </w:p>
          <w:p w:rsidR="000D517F" w:rsidRDefault="000D517F" w:rsidP="0014701B">
            <w:pPr>
              <w:pStyle w:val="ListParagraph"/>
              <w:ind w:left="709" w:hanging="77"/>
            </w:pPr>
          </w:p>
          <w:p w:rsidR="000D517F" w:rsidRDefault="000D517F" w:rsidP="00EB2545">
            <w:pPr>
              <w:pStyle w:val="ListParagraph"/>
              <w:ind w:left="709"/>
            </w:pPr>
            <w:r>
              <w:t>Particular focus given to areas on the patch that are less well served/represented (Plough Road, Maysoule Road, etc)</w:t>
            </w:r>
          </w:p>
          <w:p w:rsidR="000D517F" w:rsidRDefault="000D517F" w:rsidP="00EB2545">
            <w:pPr>
              <w:pStyle w:val="ListParagraph"/>
              <w:ind w:left="709"/>
            </w:pPr>
          </w:p>
          <w:p w:rsidR="000D517F" w:rsidRDefault="000D517F" w:rsidP="00EB2545">
            <w:pPr>
              <w:pStyle w:val="ListParagraph"/>
              <w:ind w:left="709"/>
            </w:pPr>
            <w:r>
              <w:t>The Champions could aim to engage with a set number of people in their area and perhaps encourage street events. (See section 6 below Community Together Events –CTE).</w:t>
            </w:r>
          </w:p>
          <w:p w:rsidR="000D517F" w:rsidRDefault="000D517F" w:rsidP="0014701B">
            <w:pPr>
              <w:pStyle w:val="ListParagraph"/>
              <w:ind w:left="709" w:hanging="284"/>
              <w:rPr>
                <w:b/>
                <w:color w:val="548DD4" w:themeColor="text2" w:themeTint="99"/>
              </w:rPr>
            </w:pPr>
          </w:p>
        </w:tc>
        <w:tc>
          <w:tcPr>
            <w:tcW w:w="734" w:type="pct"/>
            <w:shd w:val="clear" w:color="auto" w:fill="auto"/>
          </w:tcPr>
          <w:p w:rsidR="000D517F" w:rsidRDefault="000D517F" w:rsidP="00C86506">
            <w:pPr>
              <w:pStyle w:val="ListParagraph"/>
              <w:ind w:left="0"/>
            </w:pPr>
            <w:r>
              <w:t>4 x Volunteers</w:t>
            </w:r>
          </w:p>
          <w:p w:rsidR="000D517F" w:rsidRDefault="000D517F" w:rsidP="00C86506">
            <w:pPr>
              <w:pStyle w:val="ListParagraph"/>
              <w:ind w:left="0"/>
            </w:pPr>
          </w:p>
          <w:p w:rsidR="000D517F" w:rsidRDefault="000D517F" w:rsidP="00C86506">
            <w:pPr>
              <w:pStyle w:val="ListParagraph"/>
              <w:ind w:left="0"/>
            </w:pPr>
            <w:r>
              <w:t>Expenses</w:t>
            </w:r>
          </w:p>
          <w:p w:rsidR="000D517F" w:rsidRDefault="000D517F" w:rsidP="00C86506">
            <w:pPr>
              <w:pStyle w:val="ListParagraph"/>
              <w:ind w:left="0"/>
            </w:pPr>
          </w:p>
          <w:p w:rsidR="000D517F" w:rsidRDefault="000D517F" w:rsidP="00C86506">
            <w:pPr>
              <w:pStyle w:val="ListParagraph"/>
              <w:ind w:left="0"/>
            </w:pPr>
            <w:r>
              <w:t>Costs for Events</w:t>
            </w:r>
          </w:p>
          <w:p w:rsidR="000D517F" w:rsidRDefault="000D517F" w:rsidP="00C86506">
            <w:pPr>
              <w:pStyle w:val="ListParagraph"/>
              <w:ind w:left="0"/>
            </w:pPr>
          </w:p>
          <w:p w:rsidR="000D517F" w:rsidRPr="00C86506" w:rsidRDefault="000D517F" w:rsidP="00C86506">
            <w:pPr>
              <w:pStyle w:val="ListParagraph"/>
              <w:ind w:left="0"/>
            </w:pPr>
            <w:r>
              <w:t>Volunteer Support and Coordination</w:t>
            </w:r>
          </w:p>
        </w:tc>
        <w:tc>
          <w:tcPr>
            <w:tcW w:w="734" w:type="pct"/>
            <w:shd w:val="clear" w:color="auto" w:fill="auto"/>
          </w:tcPr>
          <w:p w:rsidR="000D517F" w:rsidRDefault="000D517F" w:rsidP="007A6BD4">
            <w:pPr>
              <w:pStyle w:val="ListParagraph"/>
              <w:ind w:left="0"/>
            </w:pPr>
            <w:r>
              <w:t>20 residents get involved</w:t>
            </w:r>
          </w:p>
          <w:p w:rsidR="000D517F" w:rsidRDefault="000D517F" w:rsidP="007A6BD4">
            <w:pPr>
              <w:pStyle w:val="ListParagraph"/>
              <w:ind w:left="0"/>
            </w:pPr>
          </w:p>
          <w:p w:rsidR="000D517F" w:rsidRPr="00C86506" w:rsidRDefault="000D517F" w:rsidP="007A6BD4">
            <w:pPr>
              <w:pStyle w:val="ListParagraph"/>
              <w:ind w:left="0"/>
            </w:pPr>
            <w:r>
              <w:t>4 x Events a Year</w:t>
            </w:r>
          </w:p>
        </w:tc>
        <w:tc>
          <w:tcPr>
            <w:tcW w:w="734" w:type="pct"/>
            <w:shd w:val="clear" w:color="auto" w:fill="auto"/>
          </w:tcPr>
          <w:p w:rsidR="000D517F" w:rsidRDefault="000D517F" w:rsidP="007A6BD4">
            <w:pPr>
              <w:pStyle w:val="ListParagraph"/>
              <w:ind w:left="0"/>
            </w:pPr>
            <w:r>
              <w:t>People feel more connected</w:t>
            </w:r>
          </w:p>
          <w:p w:rsidR="000D517F" w:rsidRDefault="000D517F" w:rsidP="007A6BD4">
            <w:pPr>
              <w:pStyle w:val="ListParagraph"/>
              <w:ind w:left="0"/>
            </w:pPr>
          </w:p>
          <w:p w:rsidR="000D517F" w:rsidRDefault="000D517F" w:rsidP="007A6BD4">
            <w:pPr>
              <w:pStyle w:val="ListParagraph"/>
              <w:ind w:left="0"/>
            </w:pPr>
            <w:r>
              <w:t>People gain a voice</w:t>
            </w:r>
          </w:p>
          <w:p w:rsidR="000D517F" w:rsidRDefault="000D517F" w:rsidP="007A6BD4">
            <w:pPr>
              <w:pStyle w:val="ListParagraph"/>
              <w:ind w:left="0"/>
            </w:pPr>
          </w:p>
          <w:p w:rsidR="000D517F" w:rsidRPr="00C86506" w:rsidRDefault="000D517F" w:rsidP="007A6BD4">
            <w:pPr>
              <w:pStyle w:val="ListParagraph"/>
              <w:ind w:left="0"/>
            </w:pPr>
            <w:r>
              <w:t>Residents in turn volunteer</w:t>
            </w:r>
          </w:p>
        </w:tc>
        <w:tc>
          <w:tcPr>
            <w:tcW w:w="518" w:type="pct"/>
            <w:shd w:val="clear" w:color="auto" w:fill="auto"/>
          </w:tcPr>
          <w:p w:rsidR="000D517F" w:rsidRPr="00981C3C" w:rsidRDefault="000D517F" w:rsidP="00981C3C">
            <w:pPr>
              <w:pStyle w:val="ListParagraph"/>
              <w:ind w:left="458" w:hanging="284"/>
              <w:jc w:val="right"/>
              <w:rPr>
                <w:sz w:val="20"/>
                <w:szCs w:val="20"/>
              </w:rPr>
            </w:pPr>
            <w:r>
              <w:rPr>
                <w:sz w:val="20"/>
                <w:szCs w:val="20"/>
              </w:rPr>
              <w:t>10</w:t>
            </w:r>
            <w:r w:rsidRPr="00981C3C">
              <w:rPr>
                <w:sz w:val="20"/>
                <w:szCs w:val="20"/>
              </w:rPr>
              <w:t>000</w:t>
            </w:r>
          </w:p>
        </w:tc>
      </w:tr>
      <w:tr w:rsidR="000D517F" w:rsidTr="00480B82">
        <w:tc>
          <w:tcPr>
            <w:tcW w:w="2280" w:type="pct"/>
            <w:shd w:val="clear" w:color="auto" w:fill="auto"/>
          </w:tcPr>
          <w:p w:rsidR="000D517F" w:rsidRDefault="000D517F" w:rsidP="0014701B">
            <w:pPr>
              <w:pStyle w:val="ListParagraph"/>
              <w:numPr>
                <w:ilvl w:val="0"/>
                <w:numId w:val="1"/>
              </w:numPr>
              <w:ind w:left="709" w:hanging="284"/>
            </w:pPr>
            <w:r w:rsidRPr="003940BD">
              <w:rPr>
                <w:b/>
                <w:color w:val="0070C0"/>
              </w:rPr>
              <w:t>Community Guardians</w:t>
            </w:r>
            <w:r w:rsidRPr="00C87721">
              <w:t xml:space="preserve"> – based on street pastors </w:t>
            </w:r>
            <w:r w:rsidRPr="00C87721">
              <w:lastRenderedPageBreak/>
              <w:t>idea but more in keeping with the ‘culture’ of BLSW11; work with JCT to design and implement estate visibility and response team.</w:t>
            </w:r>
          </w:p>
          <w:p w:rsidR="000D517F" w:rsidRDefault="000D517F" w:rsidP="00055602"/>
          <w:p w:rsidR="000D517F" w:rsidRDefault="000D517F" w:rsidP="00055602">
            <w:pPr>
              <w:ind w:left="709"/>
            </w:pPr>
            <w:r>
              <w:t>The key to this initiative is to provide a counter to the enticements offered to young people to get involved with gangs, by offering points of contact and referral to the range of alternatives available through (say) the Alliance.</w:t>
            </w:r>
          </w:p>
          <w:p w:rsidR="000D517F" w:rsidRPr="00055602" w:rsidRDefault="000D517F" w:rsidP="00055602">
            <w:pPr>
              <w:ind w:left="709"/>
            </w:pPr>
          </w:p>
          <w:p w:rsidR="000D517F" w:rsidRDefault="000D517F" w:rsidP="0014701B">
            <w:pPr>
              <w:pStyle w:val="ListParagraph"/>
              <w:ind w:left="709" w:hanging="284"/>
              <w:rPr>
                <w:b/>
                <w:color w:val="548DD4" w:themeColor="text2" w:themeTint="99"/>
              </w:rPr>
            </w:pPr>
          </w:p>
        </w:tc>
        <w:tc>
          <w:tcPr>
            <w:tcW w:w="734" w:type="pct"/>
            <w:shd w:val="clear" w:color="auto" w:fill="auto"/>
          </w:tcPr>
          <w:p w:rsidR="000D517F" w:rsidRPr="00055602" w:rsidRDefault="000D517F" w:rsidP="00C86506">
            <w:pPr>
              <w:pStyle w:val="ListParagraph"/>
              <w:ind w:left="0"/>
            </w:pPr>
            <w:r>
              <w:lastRenderedPageBreak/>
              <w:t>10 x Volunteers</w:t>
            </w:r>
          </w:p>
        </w:tc>
        <w:tc>
          <w:tcPr>
            <w:tcW w:w="734" w:type="pct"/>
            <w:shd w:val="clear" w:color="auto" w:fill="auto"/>
          </w:tcPr>
          <w:p w:rsidR="000D517F" w:rsidRDefault="000D517F" w:rsidP="007A6BD4">
            <w:pPr>
              <w:pStyle w:val="ListParagraph"/>
              <w:ind w:left="0"/>
            </w:pPr>
            <w:r>
              <w:t xml:space="preserve">30 young people </w:t>
            </w:r>
            <w:r>
              <w:lastRenderedPageBreak/>
              <w:t>engaged each year</w:t>
            </w:r>
          </w:p>
          <w:p w:rsidR="000D517F" w:rsidRDefault="000D517F" w:rsidP="007A6BD4">
            <w:pPr>
              <w:pStyle w:val="ListParagraph"/>
              <w:ind w:left="0"/>
            </w:pPr>
          </w:p>
          <w:p w:rsidR="000D517F" w:rsidRDefault="000D517F" w:rsidP="007A6BD4">
            <w:pPr>
              <w:pStyle w:val="ListParagraph"/>
              <w:ind w:left="0"/>
            </w:pPr>
            <w:r>
              <w:t>10 young people join a youth club</w:t>
            </w:r>
          </w:p>
          <w:p w:rsidR="000D517F" w:rsidRDefault="000D517F" w:rsidP="007A6BD4">
            <w:pPr>
              <w:pStyle w:val="ListParagraph"/>
              <w:ind w:left="0"/>
            </w:pPr>
          </w:p>
          <w:p w:rsidR="000D517F" w:rsidRDefault="000D517F" w:rsidP="007A6BD4">
            <w:pPr>
              <w:pStyle w:val="ListParagraph"/>
              <w:ind w:left="0"/>
            </w:pPr>
            <w:r>
              <w:t>5 young people have a mentor</w:t>
            </w:r>
          </w:p>
          <w:p w:rsidR="000D517F" w:rsidRDefault="000D517F" w:rsidP="007A6BD4">
            <w:pPr>
              <w:pStyle w:val="ListParagraph"/>
              <w:ind w:left="0"/>
            </w:pPr>
          </w:p>
          <w:p w:rsidR="000D517F" w:rsidRPr="00055602" w:rsidRDefault="000D517F" w:rsidP="007A6BD4">
            <w:pPr>
              <w:pStyle w:val="ListParagraph"/>
              <w:ind w:left="0"/>
            </w:pPr>
            <w:r>
              <w:t>5 young people join Battersea Youth Voice</w:t>
            </w:r>
          </w:p>
        </w:tc>
        <w:tc>
          <w:tcPr>
            <w:tcW w:w="734" w:type="pct"/>
            <w:shd w:val="clear" w:color="auto" w:fill="auto"/>
          </w:tcPr>
          <w:p w:rsidR="000D517F" w:rsidRDefault="000D517F" w:rsidP="007A6BD4">
            <w:pPr>
              <w:pStyle w:val="ListParagraph"/>
              <w:ind w:left="0"/>
            </w:pPr>
            <w:r w:rsidRPr="00055602">
              <w:lastRenderedPageBreak/>
              <w:t>Young people</w:t>
            </w:r>
            <w:r>
              <w:t xml:space="preserve"> </w:t>
            </w:r>
            <w:r>
              <w:lastRenderedPageBreak/>
              <w:t>become aware of alternatives</w:t>
            </w:r>
          </w:p>
          <w:p w:rsidR="000D517F" w:rsidRDefault="000D517F" w:rsidP="007A6BD4">
            <w:pPr>
              <w:pStyle w:val="ListParagraph"/>
              <w:ind w:left="0"/>
            </w:pPr>
          </w:p>
          <w:p w:rsidR="000D517F" w:rsidRDefault="000D517F" w:rsidP="007A6BD4">
            <w:pPr>
              <w:pStyle w:val="ListParagraph"/>
              <w:ind w:left="0"/>
            </w:pPr>
            <w:r>
              <w:t>Increase in aspirations</w:t>
            </w:r>
          </w:p>
          <w:p w:rsidR="000D517F" w:rsidRDefault="000D517F" w:rsidP="007A6BD4">
            <w:pPr>
              <w:pStyle w:val="ListParagraph"/>
              <w:ind w:left="0"/>
            </w:pPr>
          </w:p>
          <w:p w:rsidR="000D517F" w:rsidRDefault="000D517F" w:rsidP="007A6BD4">
            <w:pPr>
              <w:pStyle w:val="ListParagraph"/>
              <w:ind w:left="0"/>
            </w:pPr>
            <w:r>
              <w:t xml:space="preserve">Increase in confidence </w:t>
            </w:r>
          </w:p>
          <w:p w:rsidR="000D517F" w:rsidRDefault="000D517F" w:rsidP="007A6BD4">
            <w:pPr>
              <w:pStyle w:val="ListParagraph"/>
              <w:ind w:left="0"/>
            </w:pPr>
          </w:p>
          <w:p w:rsidR="000D517F" w:rsidRPr="00055602" w:rsidRDefault="000D517F" w:rsidP="007A6BD4">
            <w:pPr>
              <w:pStyle w:val="ListParagraph"/>
              <w:ind w:left="0"/>
            </w:pPr>
          </w:p>
        </w:tc>
        <w:tc>
          <w:tcPr>
            <w:tcW w:w="518" w:type="pct"/>
            <w:shd w:val="clear" w:color="auto" w:fill="auto"/>
          </w:tcPr>
          <w:p w:rsidR="000D517F" w:rsidRPr="00981C3C" w:rsidRDefault="000D517F" w:rsidP="00981C3C">
            <w:pPr>
              <w:pStyle w:val="ListParagraph"/>
              <w:ind w:left="709" w:hanging="284"/>
              <w:jc w:val="right"/>
              <w:rPr>
                <w:sz w:val="20"/>
                <w:szCs w:val="20"/>
              </w:rPr>
            </w:pPr>
            <w:r w:rsidRPr="00981C3C">
              <w:rPr>
                <w:sz w:val="20"/>
                <w:szCs w:val="20"/>
              </w:rPr>
              <w:lastRenderedPageBreak/>
              <w:t>20000</w:t>
            </w:r>
          </w:p>
        </w:tc>
      </w:tr>
      <w:tr w:rsidR="000D517F" w:rsidTr="00480B82">
        <w:tc>
          <w:tcPr>
            <w:tcW w:w="2280" w:type="pct"/>
            <w:shd w:val="clear" w:color="auto" w:fill="auto"/>
          </w:tcPr>
          <w:p w:rsidR="000D517F" w:rsidRDefault="000D517F" w:rsidP="0014701B">
            <w:pPr>
              <w:pStyle w:val="ListParagraph"/>
              <w:numPr>
                <w:ilvl w:val="0"/>
                <w:numId w:val="1"/>
              </w:numPr>
              <w:ind w:left="709" w:right="-330" w:hanging="284"/>
            </w:pPr>
            <w:r w:rsidRPr="003940BD">
              <w:rPr>
                <w:b/>
                <w:color w:val="0070C0"/>
              </w:rPr>
              <w:lastRenderedPageBreak/>
              <w:t>Living Room</w:t>
            </w:r>
            <w:r w:rsidRPr="00C87721">
              <w:t xml:space="preserve"> </w:t>
            </w:r>
            <w:r>
              <w:t>–</w:t>
            </w:r>
            <w:r w:rsidRPr="00C87721">
              <w:t xml:space="preserve"> </w:t>
            </w:r>
            <w:r>
              <w:t>based on SpaceMax but geared towards BLSW11; work with new Volunteer Coordinator to recruit, support and design a programme of decluttering and</w:t>
            </w:r>
          </w:p>
          <w:p w:rsidR="000D517F" w:rsidRDefault="000D517F" w:rsidP="00C713C1">
            <w:pPr>
              <w:pStyle w:val="ListParagraph"/>
              <w:ind w:left="709" w:right="-330"/>
            </w:pPr>
            <w:r>
              <w:t>home-space improvements to off-set some of the worst effects of overcrowding.</w:t>
            </w:r>
          </w:p>
          <w:p w:rsidR="000D517F" w:rsidRDefault="000D517F" w:rsidP="00F0399A">
            <w:pPr>
              <w:pStyle w:val="ListParagraph"/>
              <w:ind w:left="709" w:right="-330"/>
            </w:pPr>
          </w:p>
          <w:p w:rsidR="000D517F" w:rsidRDefault="000D517F" w:rsidP="00F0399A">
            <w:pPr>
              <w:pStyle w:val="ListParagraph"/>
              <w:ind w:left="743"/>
            </w:pPr>
            <w:r>
              <w:t>The terms of reference for this work to include a particular attention to the most vulnerable including older people, people with disabilities and/or mental health issues.</w:t>
            </w:r>
          </w:p>
          <w:p w:rsidR="000D517F" w:rsidRDefault="000D517F" w:rsidP="00F0399A">
            <w:pPr>
              <w:ind w:right="-330"/>
            </w:pPr>
          </w:p>
          <w:p w:rsidR="000D517F" w:rsidRDefault="000D517F" w:rsidP="00055602">
            <w:pPr>
              <w:ind w:left="709" w:right="-330"/>
            </w:pPr>
            <w:r>
              <w:t>People living in overcrowded or difficult to manage living space will be offered the support of</w:t>
            </w:r>
          </w:p>
          <w:p w:rsidR="000D517F" w:rsidRDefault="000D517F" w:rsidP="00055602">
            <w:pPr>
              <w:ind w:left="709" w:right="-330"/>
            </w:pPr>
            <w:r>
              <w:t xml:space="preserve"> Volunteers with a range of skills, including interior design, architecture, construction and decoration.</w:t>
            </w:r>
          </w:p>
          <w:p w:rsidR="000D517F" w:rsidRDefault="000D517F" w:rsidP="00055602">
            <w:pPr>
              <w:ind w:left="709" w:right="-330"/>
            </w:pPr>
          </w:p>
          <w:p w:rsidR="000D517F" w:rsidRDefault="000D517F" w:rsidP="00055602">
            <w:pPr>
              <w:ind w:left="709" w:right="-330"/>
            </w:pPr>
            <w:r>
              <w:t>The volunteers will also be trained in providing</w:t>
            </w:r>
          </w:p>
          <w:p w:rsidR="000D517F" w:rsidRPr="00F0399A" w:rsidRDefault="000D517F" w:rsidP="00055602">
            <w:pPr>
              <w:ind w:left="709" w:right="-330"/>
            </w:pPr>
            <w:r>
              <w:t xml:space="preserve"> advice and guidance and the ‘beneficiaries’ will, in turn, be encourage to participate in the life of their community</w:t>
            </w:r>
          </w:p>
          <w:p w:rsidR="000D517F" w:rsidRDefault="000D517F" w:rsidP="0014701B">
            <w:pPr>
              <w:pStyle w:val="ListParagraph"/>
              <w:ind w:left="709" w:hanging="284"/>
              <w:rPr>
                <w:b/>
                <w:color w:val="548DD4" w:themeColor="text2" w:themeTint="99"/>
              </w:rPr>
            </w:pPr>
          </w:p>
        </w:tc>
        <w:tc>
          <w:tcPr>
            <w:tcW w:w="734" w:type="pct"/>
            <w:shd w:val="clear" w:color="auto" w:fill="auto"/>
          </w:tcPr>
          <w:p w:rsidR="000D517F" w:rsidRDefault="000D517F" w:rsidP="00C86506">
            <w:pPr>
              <w:pStyle w:val="ListParagraph"/>
              <w:ind w:left="0"/>
            </w:pPr>
            <w:r w:rsidRPr="00A00951">
              <w:t>15 x Volunteers</w:t>
            </w:r>
          </w:p>
          <w:p w:rsidR="000D517F" w:rsidRDefault="000D517F" w:rsidP="00C86506">
            <w:pPr>
              <w:pStyle w:val="ListParagraph"/>
              <w:ind w:left="0"/>
            </w:pPr>
          </w:p>
          <w:p w:rsidR="000D517F" w:rsidRDefault="000D517F" w:rsidP="00C86506">
            <w:pPr>
              <w:pStyle w:val="ListParagraph"/>
              <w:ind w:left="0"/>
            </w:pPr>
            <w:r>
              <w:t>Skills offered in Interior Design, Carpentry, Plumbing, Electrical and IT services</w:t>
            </w:r>
          </w:p>
          <w:p w:rsidR="000D517F" w:rsidRDefault="000D517F" w:rsidP="00C86506">
            <w:pPr>
              <w:pStyle w:val="ListParagraph"/>
              <w:ind w:left="0"/>
            </w:pPr>
          </w:p>
          <w:p w:rsidR="000D517F" w:rsidRDefault="000D517F" w:rsidP="00C86506">
            <w:pPr>
              <w:pStyle w:val="ListParagraph"/>
              <w:ind w:left="0"/>
            </w:pPr>
            <w:r>
              <w:t>Equipment</w:t>
            </w:r>
          </w:p>
          <w:p w:rsidR="000D517F" w:rsidRDefault="000D517F" w:rsidP="00C86506">
            <w:pPr>
              <w:pStyle w:val="ListParagraph"/>
              <w:ind w:left="0"/>
            </w:pPr>
          </w:p>
          <w:p w:rsidR="000D517F" w:rsidRDefault="000D517F" w:rsidP="00C86506">
            <w:pPr>
              <w:pStyle w:val="ListParagraph"/>
              <w:ind w:left="0"/>
            </w:pPr>
            <w:r>
              <w:t xml:space="preserve">Storage </w:t>
            </w:r>
          </w:p>
          <w:p w:rsidR="000D517F" w:rsidRDefault="000D517F" w:rsidP="00C86506">
            <w:pPr>
              <w:pStyle w:val="ListParagraph"/>
              <w:ind w:left="0"/>
            </w:pPr>
          </w:p>
          <w:p w:rsidR="000D517F" w:rsidRPr="00A00951" w:rsidRDefault="000D517F" w:rsidP="00C86506">
            <w:pPr>
              <w:pStyle w:val="ListParagraph"/>
              <w:ind w:left="0"/>
            </w:pPr>
            <w:r>
              <w:t>Training Room</w:t>
            </w:r>
          </w:p>
        </w:tc>
        <w:tc>
          <w:tcPr>
            <w:tcW w:w="734" w:type="pct"/>
            <w:shd w:val="clear" w:color="auto" w:fill="auto"/>
          </w:tcPr>
          <w:p w:rsidR="000D517F" w:rsidRDefault="000D517F" w:rsidP="007A6BD4">
            <w:pPr>
              <w:pStyle w:val="ListParagraph"/>
              <w:ind w:left="0"/>
            </w:pPr>
            <w:r>
              <w:t>20 families in the BLSW11 area supported each year</w:t>
            </w:r>
          </w:p>
          <w:p w:rsidR="000D517F" w:rsidRDefault="000D517F" w:rsidP="007A6BD4">
            <w:pPr>
              <w:pStyle w:val="ListParagraph"/>
              <w:ind w:left="0"/>
            </w:pPr>
          </w:p>
          <w:p w:rsidR="000D517F" w:rsidRDefault="000D517F" w:rsidP="007A6BD4">
            <w:pPr>
              <w:pStyle w:val="ListParagraph"/>
              <w:ind w:left="0"/>
            </w:pPr>
            <w:r>
              <w:t>15 x referrals</w:t>
            </w:r>
          </w:p>
          <w:p w:rsidR="000D517F" w:rsidRDefault="000D517F" w:rsidP="007A6BD4">
            <w:pPr>
              <w:pStyle w:val="ListParagraph"/>
              <w:ind w:left="0"/>
            </w:pPr>
          </w:p>
          <w:p w:rsidR="000D517F" w:rsidRDefault="000D517F" w:rsidP="007A6BD4">
            <w:pPr>
              <w:pStyle w:val="ListParagraph"/>
              <w:ind w:left="0"/>
            </w:pPr>
            <w:r>
              <w:t>10 x participation in other BLSW11 initiatives</w:t>
            </w:r>
          </w:p>
          <w:p w:rsidR="000D517F" w:rsidRDefault="000D517F" w:rsidP="007A6BD4">
            <w:pPr>
              <w:pStyle w:val="ListParagraph"/>
              <w:ind w:left="0"/>
            </w:pPr>
          </w:p>
          <w:p w:rsidR="000D517F" w:rsidRPr="00F25C61" w:rsidRDefault="000D517F" w:rsidP="007A6BD4">
            <w:pPr>
              <w:pStyle w:val="ListParagraph"/>
              <w:ind w:left="0"/>
            </w:pPr>
            <w:r>
              <w:t>15 volunteers receive training and support</w:t>
            </w:r>
          </w:p>
        </w:tc>
        <w:tc>
          <w:tcPr>
            <w:tcW w:w="734" w:type="pct"/>
            <w:shd w:val="clear" w:color="auto" w:fill="auto"/>
          </w:tcPr>
          <w:p w:rsidR="000D517F" w:rsidRDefault="000D517F" w:rsidP="007A6BD4">
            <w:pPr>
              <w:pStyle w:val="ListParagraph"/>
              <w:ind w:left="0"/>
            </w:pPr>
            <w:r w:rsidRPr="00373726">
              <w:t>Reduction in anxiety and stress</w:t>
            </w:r>
          </w:p>
          <w:p w:rsidR="000D517F" w:rsidRDefault="000D517F" w:rsidP="007A6BD4">
            <w:pPr>
              <w:pStyle w:val="ListParagraph"/>
              <w:ind w:left="0"/>
            </w:pPr>
          </w:p>
          <w:p w:rsidR="000D517F" w:rsidRDefault="000D517F" w:rsidP="007A6BD4">
            <w:pPr>
              <w:pStyle w:val="ListParagraph"/>
              <w:ind w:left="0"/>
            </w:pPr>
            <w:r>
              <w:t>Increase in knowledge about support services</w:t>
            </w:r>
          </w:p>
          <w:p w:rsidR="000D517F" w:rsidRDefault="000D517F" w:rsidP="007A6BD4">
            <w:pPr>
              <w:pStyle w:val="ListParagraph"/>
              <w:ind w:left="0"/>
            </w:pPr>
          </w:p>
          <w:p w:rsidR="000D517F" w:rsidRPr="00373726" w:rsidRDefault="000D517F" w:rsidP="007A6BD4">
            <w:pPr>
              <w:pStyle w:val="ListParagraph"/>
              <w:ind w:left="0"/>
            </w:pPr>
            <w:r>
              <w:t>Some beneficiaries become volunteers</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40000</w:t>
            </w:r>
          </w:p>
        </w:tc>
      </w:tr>
      <w:tr w:rsidR="000D517F" w:rsidTr="00480B82">
        <w:tc>
          <w:tcPr>
            <w:tcW w:w="2280" w:type="pct"/>
            <w:shd w:val="clear" w:color="auto" w:fill="auto"/>
          </w:tcPr>
          <w:p w:rsidR="000D517F" w:rsidRDefault="000D517F" w:rsidP="0014701B">
            <w:pPr>
              <w:pStyle w:val="ListParagraph"/>
              <w:numPr>
                <w:ilvl w:val="0"/>
                <w:numId w:val="1"/>
              </w:numPr>
              <w:ind w:left="709" w:hanging="284"/>
            </w:pPr>
            <w:r w:rsidRPr="003940BD">
              <w:rPr>
                <w:b/>
                <w:color w:val="0070C0"/>
              </w:rPr>
              <w:lastRenderedPageBreak/>
              <w:t>Adopt a ‘grandparent’</w:t>
            </w:r>
            <w:r>
              <w:t xml:space="preserve"> - </w:t>
            </w:r>
            <w:r w:rsidRPr="0091379D">
              <w:t>mobilise volunteers to pick-up on contacts with isolated older people to establish regular engagement using a variety of methods (home visits, technology, and meeting in community settings).</w:t>
            </w:r>
          </w:p>
          <w:p w:rsidR="000D517F" w:rsidRDefault="000D517F" w:rsidP="0014701B">
            <w:pPr>
              <w:pStyle w:val="ListParagraph"/>
              <w:ind w:left="709" w:hanging="284"/>
              <w:rPr>
                <w:b/>
                <w:color w:val="548DD4" w:themeColor="text2" w:themeTint="99"/>
              </w:rPr>
            </w:pPr>
          </w:p>
        </w:tc>
        <w:tc>
          <w:tcPr>
            <w:tcW w:w="734" w:type="pct"/>
            <w:shd w:val="clear" w:color="auto" w:fill="auto"/>
          </w:tcPr>
          <w:p w:rsidR="000D517F" w:rsidRDefault="000D517F" w:rsidP="00C86506">
            <w:pPr>
              <w:pStyle w:val="ListParagraph"/>
              <w:ind w:left="0"/>
            </w:pPr>
            <w:r>
              <w:t>15  x Volunteers with appropriate clearances and legal compliance</w:t>
            </w:r>
          </w:p>
          <w:p w:rsidR="000D517F" w:rsidRDefault="000D517F" w:rsidP="00C86506">
            <w:pPr>
              <w:pStyle w:val="ListParagraph"/>
              <w:ind w:left="0"/>
            </w:pPr>
          </w:p>
          <w:p w:rsidR="000D517F" w:rsidRDefault="000D517F" w:rsidP="00C86506">
            <w:pPr>
              <w:pStyle w:val="ListParagraph"/>
              <w:ind w:left="0"/>
            </w:pPr>
          </w:p>
          <w:p w:rsidR="000D517F" w:rsidRPr="00F25C61" w:rsidRDefault="000D517F" w:rsidP="00C86506">
            <w:pPr>
              <w:pStyle w:val="ListParagraph"/>
              <w:ind w:left="0"/>
            </w:pPr>
            <w:r>
              <w:t>Support from Volunteer Coordinator (additional costs)</w:t>
            </w:r>
          </w:p>
        </w:tc>
        <w:tc>
          <w:tcPr>
            <w:tcW w:w="734" w:type="pct"/>
            <w:shd w:val="clear" w:color="auto" w:fill="auto"/>
          </w:tcPr>
          <w:p w:rsidR="000D517F" w:rsidRDefault="000D517F" w:rsidP="007A6BD4">
            <w:pPr>
              <w:pStyle w:val="ListParagraph"/>
              <w:ind w:left="0"/>
            </w:pPr>
            <w:r>
              <w:t>30 x older people a year</w:t>
            </w:r>
          </w:p>
          <w:p w:rsidR="000D517F" w:rsidRDefault="000D517F" w:rsidP="007A6BD4">
            <w:pPr>
              <w:pStyle w:val="ListParagraph"/>
              <w:ind w:left="0"/>
            </w:pPr>
          </w:p>
          <w:p w:rsidR="000D517F" w:rsidRPr="00F25C61" w:rsidRDefault="000D517F" w:rsidP="007A6BD4">
            <w:pPr>
              <w:pStyle w:val="ListParagraph"/>
              <w:ind w:left="0"/>
            </w:pPr>
          </w:p>
        </w:tc>
        <w:tc>
          <w:tcPr>
            <w:tcW w:w="734" w:type="pct"/>
            <w:shd w:val="clear" w:color="auto" w:fill="auto"/>
          </w:tcPr>
          <w:p w:rsidR="000D517F" w:rsidRDefault="000D517F" w:rsidP="007A6BD4">
            <w:pPr>
              <w:pStyle w:val="ListParagraph"/>
              <w:ind w:left="0"/>
            </w:pPr>
            <w:r w:rsidRPr="00373726">
              <w:t>Reduction in</w:t>
            </w:r>
            <w:r>
              <w:t xml:space="preserve"> feeling lonely and disconnected</w:t>
            </w:r>
          </w:p>
          <w:p w:rsidR="000D517F" w:rsidRDefault="000D517F" w:rsidP="007A6BD4">
            <w:pPr>
              <w:pStyle w:val="ListParagraph"/>
              <w:ind w:left="0"/>
            </w:pPr>
          </w:p>
          <w:p w:rsidR="000D517F" w:rsidRPr="00373726" w:rsidRDefault="000D517F" w:rsidP="007A6BD4">
            <w:pPr>
              <w:pStyle w:val="ListParagraph"/>
              <w:ind w:left="0"/>
            </w:pPr>
            <w:r>
              <w:t>Older people participate in the life of the community</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5000</w:t>
            </w:r>
          </w:p>
        </w:tc>
      </w:tr>
      <w:tr w:rsidR="000D517F" w:rsidTr="00480B82">
        <w:tc>
          <w:tcPr>
            <w:tcW w:w="2280" w:type="pct"/>
            <w:shd w:val="clear" w:color="auto" w:fill="auto"/>
          </w:tcPr>
          <w:p w:rsidR="000D517F" w:rsidRDefault="000D517F" w:rsidP="0014701B">
            <w:pPr>
              <w:pStyle w:val="ListParagraph"/>
              <w:numPr>
                <w:ilvl w:val="0"/>
                <w:numId w:val="1"/>
              </w:numPr>
              <w:ind w:left="709" w:hanging="284"/>
            </w:pPr>
            <w:r w:rsidRPr="0065008E">
              <w:rPr>
                <w:b/>
                <w:color w:val="0070C0"/>
              </w:rPr>
              <w:t>Community Together Events</w:t>
            </w:r>
            <w:r w:rsidRPr="0065008E">
              <w:t xml:space="preserve"> (CTE) – a programme of regular events (street parties, food clubs, arts, sports, cultural), that encourage the disparate parts of our community to come together.</w:t>
            </w:r>
          </w:p>
          <w:p w:rsidR="000D517F" w:rsidRDefault="000D517F" w:rsidP="00F0399A"/>
          <w:p w:rsidR="000D517F" w:rsidRDefault="000D517F" w:rsidP="00F0399A">
            <w:pPr>
              <w:pStyle w:val="ListParagraph"/>
              <w:ind w:left="743"/>
            </w:pPr>
            <w:r>
              <w:t>The terms of reference for this work to include a particular attention to the most vulnerable including older people, people with disabilities and/or mental health issues.</w:t>
            </w:r>
          </w:p>
          <w:p w:rsidR="000D517F" w:rsidRDefault="000D517F" w:rsidP="00F0399A">
            <w:pPr>
              <w:pStyle w:val="ListParagraph"/>
              <w:ind w:left="743"/>
            </w:pPr>
          </w:p>
          <w:p w:rsidR="000D517F" w:rsidRDefault="000D517F" w:rsidP="00F0399A">
            <w:pPr>
              <w:pStyle w:val="ListParagraph"/>
              <w:ind w:left="743"/>
            </w:pPr>
            <w:r>
              <w:t>Building on the knowledge and experience of Kambala Care which has delivered inclusive community events (Street parties, Food Clubs, Outings) – linked with Community Champions and Guardians</w:t>
            </w:r>
          </w:p>
          <w:p w:rsidR="000D517F" w:rsidRPr="00F0399A" w:rsidRDefault="000D517F" w:rsidP="00F0399A"/>
        </w:tc>
        <w:tc>
          <w:tcPr>
            <w:tcW w:w="734" w:type="pct"/>
            <w:shd w:val="clear" w:color="auto" w:fill="auto"/>
          </w:tcPr>
          <w:p w:rsidR="000D517F" w:rsidRDefault="000D517F" w:rsidP="00C86506">
            <w:pPr>
              <w:pStyle w:val="ListParagraph"/>
              <w:ind w:left="0"/>
            </w:pPr>
            <w:r>
              <w:t xml:space="preserve">12 x Community activists </w:t>
            </w:r>
          </w:p>
          <w:p w:rsidR="000D517F" w:rsidRDefault="000D517F" w:rsidP="00C86506">
            <w:pPr>
              <w:pStyle w:val="ListParagraph"/>
              <w:ind w:left="0"/>
            </w:pPr>
          </w:p>
          <w:p w:rsidR="000D517F" w:rsidRDefault="000D517F" w:rsidP="00C86506">
            <w:pPr>
              <w:pStyle w:val="ListParagraph"/>
              <w:ind w:left="0"/>
            </w:pPr>
            <w:r>
              <w:t>Coordination</w:t>
            </w:r>
          </w:p>
          <w:p w:rsidR="000D517F" w:rsidRDefault="000D517F" w:rsidP="00C86506">
            <w:pPr>
              <w:pStyle w:val="ListParagraph"/>
              <w:ind w:left="0"/>
            </w:pPr>
          </w:p>
          <w:p w:rsidR="000D517F" w:rsidRDefault="000D517F" w:rsidP="00C86506">
            <w:pPr>
              <w:pStyle w:val="ListParagraph"/>
              <w:ind w:left="0"/>
            </w:pPr>
            <w:r>
              <w:t xml:space="preserve">Cost for running events, including  food, materials, publicity </w:t>
            </w:r>
          </w:p>
          <w:p w:rsidR="000D517F" w:rsidRDefault="000D517F" w:rsidP="00C86506">
            <w:pPr>
              <w:pStyle w:val="ListParagraph"/>
              <w:ind w:left="0"/>
            </w:pPr>
          </w:p>
          <w:p w:rsidR="000D517F" w:rsidRPr="00373726" w:rsidRDefault="000D517F" w:rsidP="00C86506">
            <w:pPr>
              <w:pStyle w:val="ListParagraph"/>
              <w:ind w:left="0"/>
            </w:pPr>
          </w:p>
        </w:tc>
        <w:tc>
          <w:tcPr>
            <w:tcW w:w="734" w:type="pct"/>
            <w:shd w:val="clear" w:color="auto" w:fill="auto"/>
          </w:tcPr>
          <w:p w:rsidR="000D517F" w:rsidRDefault="000D517F" w:rsidP="007A6BD4">
            <w:pPr>
              <w:pStyle w:val="ListParagraph"/>
              <w:ind w:left="0"/>
            </w:pPr>
            <w:r>
              <w:t>300 people a year participate in CTE’s</w:t>
            </w:r>
          </w:p>
          <w:p w:rsidR="000D517F" w:rsidRDefault="000D517F" w:rsidP="007A6BD4">
            <w:pPr>
              <w:pStyle w:val="ListParagraph"/>
              <w:ind w:left="0"/>
            </w:pPr>
          </w:p>
          <w:p w:rsidR="000D517F" w:rsidRDefault="000D517F" w:rsidP="007A6BD4">
            <w:pPr>
              <w:pStyle w:val="ListParagraph"/>
              <w:ind w:left="0"/>
            </w:pPr>
            <w:r>
              <w:t>12 x Volunteers</w:t>
            </w:r>
          </w:p>
          <w:p w:rsidR="000D517F" w:rsidRDefault="000D517F" w:rsidP="007A6BD4">
            <w:pPr>
              <w:pStyle w:val="ListParagraph"/>
              <w:ind w:left="0"/>
            </w:pPr>
          </w:p>
          <w:p w:rsidR="000D517F" w:rsidRPr="00373726" w:rsidRDefault="000D517F" w:rsidP="007A6BD4">
            <w:pPr>
              <w:pStyle w:val="ListParagraph"/>
              <w:ind w:left="0"/>
            </w:pPr>
            <w:r>
              <w:t>Diverse groups meet to share</w:t>
            </w:r>
          </w:p>
        </w:tc>
        <w:tc>
          <w:tcPr>
            <w:tcW w:w="734" w:type="pct"/>
            <w:shd w:val="clear" w:color="auto" w:fill="auto"/>
          </w:tcPr>
          <w:p w:rsidR="000D517F" w:rsidRDefault="000D517F" w:rsidP="007A6BD4">
            <w:pPr>
              <w:pStyle w:val="ListParagraph"/>
              <w:ind w:left="0"/>
            </w:pPr>
            <w:r>
              <w:t>Developing understanding</w:t>
            </w:r>
          </w:p>
          <w:p w:rsidR="000D517F" w:rsidRDefault="000D517F" w:rsidP="007A6BD4">
            <w:pPr>
              <w:pStyle w:val="ListParagraph"/>
              <w:ind w:left="0"/>
            </w:pPr>
          </w:p>
          <w:p w:rsidR="000D517F" w:rsidRDefault="000D517F" w:rsidP="007A6BD4">
            <w:pPr>
              <w:pStyle w:val="ListParagraph"/>
              <w:ind w:left="0"/>
            </w:pPr>
            <w:r>
              <w:t>Building joint projects</w:t>
            </w:r>
          </w:p>
          <w:p w:rsidR="000D517F" w:rsidRDefault="000D517F" w:rsidP="007A6BD4">
            <w:pPr>
              <w:pStyle w:val="ListParagraph"/>
              <w:ind w:left="0"/>
            </w:pPr>
          </w:p>
          <w:p w:rsidR="000D517F" w:rsidRDefault="000D517F" w:rsidP="007A6BD4">
            <w:pPr>
              <w:pStyle w:val="ListParagraph"/>
              <w:ind w:left="0"/>
            </w:pPr>
            <w:r>
              <w:t>Community Cohesion</w:t>
            </w:r>
          </w:p>
          <w:p w:rsidR="000D517F" w:rsidRDefault="000D517F" w:rsidP="007A6BD4">
            <w:pPr>
              <w:pStyle w:val="ListParagraph"/>
              <w:ind w:left="0"/>
            </w:pPr>
          </w:p>
          <w:p w:rsidR="000D517F" w:rsidRDefault="000D517F" w:rsidP="007A6BD4">
            <w:pPr>
              <w:pStyle w:val="ListParagraph"/>
              <w:ind w:left="0"/>
            </w:pPr>
            <w:r>
              <w:t>Increase in Volunteering</w:t>
            </w:r>
          </w:p>
          <w:p w:rsidR="000D517F" w:rsidRDefault="000D517F" w:rsidP="007A6BD4">
            <w:pPr>
              <w:pStyle w:val="ListParagraph"/>
              <w:ind w:left="0"/>
            </w:pPr>
          </w:p>
          <w:p w:rsidR="000D517F" w:rsidRDefault="000D517F" w:rsidP="007A6BD4">
            <w:pPr>
              <w:pStyle w:val="ListParagraph"/>
              <w:ind w:left="0"/>
            </w:pPr>
          </w:p>
          <w:p w:rsidR="000D517F" w:rsidRDefault="000D517F" w:rsidP="007A6BD4">
            <w:pPr>
              <w:pStyle w:val="ListParagraph"/>
              <w:ind w:left="0"/>
            </w:pPr>
          </w:p>
          <w:p w:rsidR="000D517F" w:rsidRPr="00373726" w:rsidRDefault="000D517F" w:rsidP="007A6BD4">
            <w:pPr>
              <w:pStyle w:val="ListParagraph"/>
              <w:ind w:left="0"/>
            </w:pP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30000</w:t>
            </w:r>
          </w:p>
        </w:tc>
      </w:tr>
      <w:tr w:rsidR="000D517F" w:rsidTr="00480B82">
        <w:tc>
          <w:tcPr>
            <w:tcW w:w="2280" w:type="pct"/>
            <w:shd w:val="clear" w:color="auto" w:fill="auto"/>
          </w:tcPr>
          <w:p w:rsidR="000D517F" w:rsidRPr="0065008E" w:rsidRDefault="000D517F" w:rsidP="0014701B">
            <w:pPr>
              <w:pStyle w:val="ListParagraph"/>
              <w:numPr>
                <w:ilvl w:val="0"/>
                <w:numId w:val="1"/>
              </w:numPr>
              <w:ind w:left="709" w:hanging="284"/>
            </w:pPr>
            <w:r w:rsidRPr="0065008E">
              <w:rPr>
                <w:b/>
                <w:color w:val="0070C0"/>
              </w:rPr>
              <w:t>New Comers Welcome to Battersea!</w:t>
            </w:r>
            <w:r w:rsidRPr="0065008E">
              <w:t xml:space="preserve"> – Develop a welcome pack, advice and support system for those that are new to the area and design projects that encourage their participation in the life of our community (linked with CTE).</w:t>
            </w:r>
          </w:p>
        </w:tc>
        <w:tc>
          <w:tcPr>
            <w:tcW w:w="734" w:type="pct"/>
            <w:shd w:val="clear" w:color="auto" w:fill="auto"/>
          </w:tcPr>
          <w:p w:rsidR="000D517F" w:rsidRPr="00373726" w:rsidRDefault="000D517F" w:rsidP="00C86506">
            <w:pPr>
              <w:pStyle w:val="ListParagraph"/>
              <w:ind w:left="0"/>
            </w:pPr>
            <w:r>
              <w:t>Costs for design and distribution of materials including Video, Leaflets, Social Media</w:t>
            </w:r>
          </w:p>
        </w:tc>
        <w:tc>
          <w:tcPr>
            <w:tcW w:w="734" w:type="pct"/>
            <w:shd w:val="clear" w:color="auto" w:fill="auto"/>
          </w:tcPr>
          <w:p w:rsidR="000D517F" w:rsidRDefault="000D517F" w:rsidP="007A6BD4">
            <w:pPr>
              <w:pStyle w:val="ListParagraph"/>
              <w:ind w:left="0"/>
            </w:pPr>
            <w:r>
              <w:t>200 ‘new comers’ identified each year</w:t>
            </w:r>
          </w:p>
          <w:p w:rsidR="000D517F" w:rsidRDefault="000D517F" w:rsidP="007A6BD4">
            <w:pPr>
              <w:pStyle w:val="ListParagraph"/>
              <w:ind w:left="0"/>
            </w:pPr>
          </w:p>
          <w:p w:rsidR="000D517F" w:rsidRDefault="000D517F" w:rsidP="007A6BD4">
            <w:pPr>
              <w:pStyle w:val="ListParagraph"/>
              <w:ind w:left="0"/>
            </w:pPr>
            <w:r>
              <w:t>20 participate in CB events or activities</w:t>
            </w:r>
          </w:p>
          <w:p w:rsidR="00C756CA" w:rsidRPr="00373726" w:rsidRDefault="00C756CA" w:rsidP="007A6BD4">
            <w:pPr>
              <w:pStyle w:val="ListParagraph"/>
              <w:ind w:left="0"/>
            </w:pPr>
          </w:p>
        </w:tc>
        <w:tc>
          <w:tcPr>
            <w:tcW w:w="734" w:type="pct"/>
            <w:shd w:val="clear" w:color="auto" w:fill="auto"/>
          </w:tcPr>
          <w:p w:rsidR="000D517F" w:rsidRPr="00373726" w:rsidRDefault="000D517F" w:rsidP="007A6BD4">
            <w:pPr>
              <w:pStyle w:val="ListParagraph"/>
              <w:ind w:left="0"/>
            </w:pPr>
            <w:r>
              <w:t>People feel welcome and want to get involved in their community</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5000</w:t>
            </w:r>
          </w:p>
        </w:tc>
      </w:tr>
      <w:tr w:rsidR="000D517F" w:rsidTr="00480B82">
        <w:tc>
          <w:tcPr>
            <w:tcW w:w="2280" w:type="pct"/>
            <w:shd w:val="clear" w:color="auto" w:fill="auto"/>
          </w:tcPr>
          <w:p w:rsidR="000D517F" w:rsidRDefault="000D517F" w:rsidP="0014701B">
            <w:pPr>
              <w:pStyle w:val="ListParagraph"/>
              <w:numPr>
                <w:ilvl w:val="0"/>
                <w:numId w:val="1"/>
              </w:numPr>
              <w:ind w:left="709" w:hanging="284"/>
            </w:pPr>
            <w:r>
              <w:rPr>
                <w:b/>
                <w:color w:val="0070C0"/>
              </w:rPr>
              <w:lastRenderedPageBreak/>
              <w:t>Forum of Neighbourhood</w:t>
            </w:r>
            <w:r w:rsidRPr="0065008E">
              <w:rPr>
                <w:b/>
                <w:color w:val="0070C0"/>
              </w:rPr>
              <w:t xml:space="preserve"> Associations</w:t>
            </w:r>
            <w:r>
              <w:t xml:space="preserve"> (FON</w:t>
            </w:r>
            <w:r w:rsidRPr="0065008E">
              <w:t>A) – networking and partnership development work across RA’s and other neighbourhood initiatives in BLSW11.</w:t>
            </w:r>
          </w:p>
          <w:p w:rsidR="000D517F" w:rsidRDefault="000D517F" w:rsidP="009063A9">
            <w:pPr>
              <w:ind w:left="743"/>
            </w:pPr>
          </w:p>
          <w:p w:rsidR="000D517F" w:rsidRDefault="000D517F" w:rsidP="00584737">
            <w:pPr>
              <w:ind w:left="743"/>
            </w:pPr>
            <w:r>
              <w:t>This will provide networking for those engaged in formal and less formal groups associated with building blocks, flats, and/or streets, building on the extensive WhatsApp networks established during Covid-19; particular attention given to parts of the patch (Maysoule Road, Plough Road) that have little representation</w:t>
            </w:r>
          </w:p>
          <w:p w:rsidR="000D517F" w:rsidRDefault="000D517F" w:rsidP="00584737">
            <w:pPr>
              <w:ind w:left="743"/>
            </w:pPr>
          </w:p>
          <w:p w:rsidR="000D517F" w:rsidRDefault="000D517F" w:rsidP="00584737">
            <w:pPr>
              <w:ind w:left="743"/>
            </w:pPr>
            <w:r>
              <w:t>Awareness raising and communication about what’s happening in the area and opportunities to work together (festival, coordinated events, etc).</w:t>
            </w:r>
          </w:p>
          <w:p w:rsidR="000D517F" w:rsidRPr="009063A9" w:rsidRDefault="000D517F" w:rsidP="00584737">
            <w:pPr>
              <w:ind w:left="743"/>
            </w:pPr>
          </w:p>
        </w:tc>
        <w:tc>
          <w:tcPr>
            <w:tcW w:w="734" w:type="pct"/>
            <w:shd w:val="clear" w:color="auto" w:fill="auto"/>
          </w:tcPr>
          <w:p w:rsidR="000D517F" w:rsidRPr="00373726" w:rsidRDefault="000D517F" w:rsidP="00C86506">
            <w:pPr>
              <w:pStyle w:val="ListParagraph"/>
              <w:ind w:left="0"/>
            </w:pPr>
            <w:r>
              <w:t>Networking events linked to CTE’s, Community Champions and Guardians but semi-autonomous</w:t>
            </w:r>
          </w:p>
        </w:tc>
        <w:tc>
          <w:tcPr>
            <w:tcW w:w="734" w:type="pct"/>
            <w:shd w:val="clear" w:color="auto" w:fill="auto"/>
          </w:tcPr>
          <w:p w:rsidR="000D517F" w:rsidRDefault="000D517F" w:rsidP="007A6BD4">
            <w:pPr>
              <w:pStyle w:val="ListParagraph"/>
              <w:ind w:left="0"/>
            </w:pPr>
            <w:r>
              <w:t>12 associations become part of FONA</w:t>
            </w:r>
          </w:p>
          <w:p w:rsidR="000D517F" w:rsidRDefault="000D517F" w:rsidP="007A6BD4">
            <w:pPr>
              <w:pStyle w:val="ListParagraph"/>
              <w:ind w:left="0"/>
            </w:pPr>
          </w:p>
          <w:p w:rsidR="000D517F" w:rsidRDefault="000D517F" w:rsidP="007A6BD4">
            <w:pPr>
              <w:pStyle w:val="ListParagraph"/>
              <w:ind w:left="0"/>
            </w:pPr>
            <w:r>
              <w:t>15 volunteers are active</w:t>
            </w:r>
          </w:p>
          <w:p w:rsidR="000D517F" w:rsidRDefault="000D517F" w:rsidP="007A6BD4">
            <w:pPr>
              <w:pStyle w:val="ListParagraph"/>
              <w:ind w:left="0"/>
            </w:pPr>
          </w:p>
          <w:p w:rsidR="000D517F" w:rsidRDefault="000D517F" w:rsidP="007A6BD4">
            <w:pPr>
              <w:pStyle w:val="ListParagraph"/>
              <w:ind w:left="0"/>
            </w:pPr>
            <w:r>
              <w:t>4 x events a year</w:t>
            </w:r>
          </w:p>
          <w:p w:rsidR="000D517F" w:rsidRDefault="000D517F" w:rsidP="007A6BD4">
            <w:pPr>
              <w:pStyle w:val="ListParagraph"/>
              <w:ind w:left="0"/>
            </w:pPr>
          </w:p>
          <w:p w:rsidR="000D517F" w:rsidRDefault="000D517F" w:rsidP="007A6BD4">
            <w:pPr>
              <w:pStyle w:val="ListParagraph"/>
              <w:ind w:left="0"/>
            </w:pPr>
            <w:r>
              <w:t>100 residents benefit</w:t>
            </w:r>
          </w:p>
          <w:p w:rsidR="000D517F" w:rsidRDefault="000D517F" w:rsidP="007A6BD4">
            <w:pPr>
              <w:pStyle w:val="ListParagraph"/>
              <w:ind w:left="0"/>
            </w:pPr>
          </w:p>
          <w:p w:rsidR="000D517F" w:rsidRPr="00373726" w:rsidRDefault="000D517F" w:rsidP="007A6BD4">
            <w:pPr>
              <w:pStyle w:val="ListParagraph"/>
              <w:ind w:left="0"/>
            </w:pPr>
          </w:p>
        </w:tc>
        <w:tc>
          <w:tcPr>
            <w:tcW w:w="734" w:type="pct"/>
            <w:shd w:val="clear" w:color="auto" w:fill="auto"/>
          </w:tcPr>
          <w:p w:rsidR="000D517F" w:rsidRPr="00373726" w:rsidRDefault="000D517F" w:rsidP="007A6BD4">
            <w:pPr>
              <w:pStyle w:val="ListParagraph"/>
              <w:ind w:left="0"/>
            </w:pPr>
            <w:r>
              <w:t>Increased knowledge and awareness of issues affecting our communities</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5000</w:t>
            </w:r>
          </w:p>
        </w:tc>
      </w:tr>
      <w:tr w:rsidR="000D517F" w:rsidTr="00480B82">
        <w:tc>
          <w:tcPr>
            <w:tcW w:w="2280" w:type="pct"/>
            <w:shd w:val="clear" w:color="auto" w:fill="auto"/>
          </w:tcPr>
          <w:p w:rsidR="000D517F" w:rsidRPr="0065008E" w:rsidRDefault="000D517F" w:rsidP="0014701B">
            <w:pPr>
              <w:pStyle w:val="ListParagraph"/>
              <w:numPr>
                <w:ilvl w:val="0"/>
                <w:numId w:val="1"/>
              </w:numPr>
              <w:ind w:left="709" w:hanging="284"/>
            </w:pPr>
            <w:r w:rsidRPr="0065008E">
              <w:rPr>
                <w:b/>
                <w:color w:val="0070C0"/>
              </w:rPr>
              <w:t>Digital Inclusion</w:t>
            </w:r>
            <w:r w:rsidRPr="0065008E">
              <w:t xml:space="preserve"> – a key finding from Covid-19 is that many residents do not have access to Broadband, IT equipment or lack the skills needed to fully exploit the opportunities that better communication can bring.</w:t>
            </w:r>
          </w:p>
        </w:tc>
        <w:tc>
          <w:tcPr>
            <w:tcW w:w="734" w:type="pct"/>
            <w:shd w:val="clear" w:color="auto" w:fill="auto"/>
          </w:tcPr>
          <w:p w:rsidR="000D517F" w:rsidRDefault="000D517F" w:rsidP="00C86506">
            <w:pPr>
              <w:pStyle w:val="ListParagraph"/>
              <w:ind w:left="0"/>
            </w:pPr>
            <w:r>
              <w:t>Research into the ‘digital divide’</w:t>
            </w:r>
          </w:p>
          <w:p w:rsidR="000D517F" w:rsidRDefault="000D517F" w:rsidP="00C86506">
            <w:pPr>
              <w:pStyle w:val="ListParagraph"/>
              <w:ind w:left="0"/>
            </w:pPr>
          </w:p>
          <w:p w:rsidR="000D517F" w:rsidRPr="00A00951" w:rsidRDefault="000D517F" w:rsidP="00C86506">
            <w:pPr>
              <w:pStyle w:val="ListParagraph"/>
              <w:ind w:left="0"/>
            </w:pPr>
            <w:r>
              <w:t>Interagency coordination (BLSW11 partners)</w:t>
            </w:r>
          </w:p>
        </w:tc>
        <w:tc>
          <w:tcPr>
            <w:tcW w:w="734" w:type="pct"/>
            <w:shd w:val="clear" w:color="auto" w:fill="auto"/>
          </w:tcPr>
          <w:p w:rsidR="000D517F" w:rsidRDefault="000D517F" w:rsidP="007A6BD4">
            <w:pPr>
              <w:pStyle w:val="ListParagraph"/>
              <w:ind w:left="0"/>
            </w:pPr>
            <w:r>
              <w:t>X people needing support</w:t>
            </w:r>
          </w:p>
          <w:p w:rsidR="000D517F" w:rsidRDefault="000D517F" w:rsidP="007A6BD4">
            <w:pPr>
              <w:pStyle w:val="ListParagraph"/>
              <w:ind w:left="0"/>
            </w:pPr>
          </w:p>
          <w:p w:rsidR="000D517F" w:rsidRDefault="000D517F" w:rsidP="007A6BD4">
            <w:pPr>
              <w:pStyle w:val="ListParagraph"/>
              <w:ind w:left="0"/>
            </w:pPr>
            <w:r>
              <w:t>X people benefitting</w:t>
            </w:r>
          </w:p>
          <w:p w:rsidR="000D517F" w:rsidRDefault="000D517F" w:rsidP="007A6BD4">
            <w:pPr>
              <w:pStyle w:val="ListParagraph"/>
              <w:ind w:left="0"/>
            </w:pPr>
          </w:p>
          <w:p w:rsidR="000D517F" w:rsidRPr="00A00951" w:rsidRDefault="000D517F" w:rsidP="007A6BD4">
            <w:pPr>
              <w:pStyle w:val="ListParagraph"/>
              <w:ind w:left="0"/>
            </w:pPr>
            <w:r>
              <w:t>X people developing new skills</w:t>
            </w:r>
          </w:p>
        </w:tc>
        <w:tc>
          <w:tcPr>
            <w:tcW w:w="734" w:type="pct"/>
            <w:shd w:val="clear" w:color="auto" w:fill="auto"/>
          </w:tcPr>
          <w:p w:rsidR="000D517F" w:rsidRDefault="000D517F" w:rsidP="007A6BD4">
            <w:pPr>
              <w:pStyle w:val="ListParagraph"/>
              <w:ind w:left="0"/>
            </w:pPr>
            <w:r>
              <w:t>Improved knowledge</w:t>
            </w:r>
          </w:p>
          <w:p w:rsidR="000D517F" w:rsidRDefault="000D517F" w:rsidP="007A6BD4">
            <w:pPr>
              <w:pStyle w:val="ListParagraph"/>
              <w:ind w:left="0"/>
            </w:pPr>
          </w:p>
          <w:p w:rsidR="000D517F" w:rsidRDefault="000D517F" w:rsidP="007A6BD4">
            <w:pPr>
              <w:pStyle w:val="ListParagraph"/>
              <w:ind w:left="0"/>
            </w:pPr>
            <w:r>
              <w:t>Increased participation</w:t>
            </w:r>
          </w:p>
          <w:p w:rsidR="000D517F" w:rsidRDefault="000D517F" w:rsidP="007A6BD4">
            <w:pPr>
              <w:pStyle w:val="ListParagraph"/>
              <w:ind w:left="0"/>
            </w:pPr>
          </w:p>
          <w:p w:rsidR="000D517F" w:rsidRDefault="000D517F" w:rsidP="007A6BD4">
            <w:pPr>
              <w:pStyle w:val="ListParagraph"/>
              <w:ind w:left="0"/>
            </w:pPr>
            <w:r>
              <w:t>Relief of anxiety and depression</w:t>
            </w:r>
          </w:p>
          <w:p w:rsidR="000D517F" w:rsidRDefault="000D517F" w:rsidP="007A6BD4">
            <w:pPr>
              <w:pStyle w:val="ListParagraph"/>
              <w:ind w:left="0"/>
            </w:pPr>
          </w:p>
          <w:p w:rsidR="000D517F" w:rsidRPr="00A00951" w:rsidRDefault="000D517F" w:rsidP="007A6BD4">
            <w:pPr>
              <w:pStyle w:val="ListParagraph"/>
              <w:ind w:left="0"/>
            </w:pPr>
            <w:r>
              <w:t>Reduction in feelings of isolation and loneliness.</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30000</w:t>
            </w:r>
          </w:p>
        </w:tc>
      </w:tr>
      <w:tr w:rsidR="000D517F" w:rsidTr="00480B82">
        <w:tc>
          <w:tcPr>
            <w:tcW w:w="2280" w:type="pct"/>
            <w:shd w:val="clear" w:color="auto" w:fill="auto"/>
          </w:tcPr>
          <w:p w:rsidR="000D517F" w:rsidRDefault="000D517F" w:rsidP="0014701B">
            <w:pPr>
              <w:pStyle w:val="ListParagraph"/>
              <w:numPr>
                <w:ilvl w:val="0"/>
                <w:numId w:val="1"/>
              </w:numPr>
              <w:ind w:hanging="513"/>
            </w:pPr>
            <w:r w:rsidRPr="0065008E">
              <w:rPr>
                <w:b/>
                <w:color w:val="0070C0"/>
              </w:rPr>
              <w:t>Intergenerational</w:t>
            </w:r>
            <w:r w:rsidRPr="0065008E">
              <w:t xml:space="preserve"> – working with Battersea Youth Voice, Volunteer Coordinator and Partner organisations to develop a strategic approach to bridge the generational divide</w:t>
            </w:r>
            <w:r>
              <w:t xml:space="preserve"> that aims to identify </w:t>
            </w:r>
            <w:r>
              <w:lastRenderedPageBreak/>
              <w:t>positive outcomes from all those involved (taking a social health approach).</w:t>
            </w:r>
          </w:p>
          <w:p w:rsidR="000D517F" w:rsidRDefault="000D517F" w:rsidP="004E08AE"/>
          <w:p w:rsidR="000D517F" w:rsidRPr="004E08AE" w:rsidRDefault="000D517F" w:rsidP="004E08AE">
            <w:pPr>
              <w:ind w:left="743"/>
            </w:pPr>
            <w:r>
              <w:t>Consider older people, refugees, single parents, and people with disabilities and or mental health concerns.</w:t>
            </w:r>
          </w:p>
        </w:tc>
        <w:tc>
          <w:tcPr>
            <w:tcW w:w="734" w:type="pct"/>
            <w:shd w:val="clear" w:color="auto" w:fill="auto"/>
          </w:tcPr>
          <w:p w:rsidR="000D517F" w:rsidRDefault="000D517F" w:rsidP="00C86506">
            <w:pPr>
              <w:pStyle w:val="ListParagraph"/>
              <w:ind w:left="0"/>
            </w:pPr>
            <w:r>
              <w:lastRenderedPageBreak/>
              <w:t>12 volunteers</w:t>
            </w:r>
          </w:p>
          <w:p w:rsidR="000D517F" w:rsidRDefault="000D517F" w:rsidP="00C86506">
            <w:pPr>
              <w:pStyle w:val="ListParagraph"/>
              <w:ind w:left="0"/>
            </w:pPr>
          </w:p>
          <w:p w:rsidR="000D517F" w:rsidRDefault="000D517F" w:rsidP="00C86506">
            <w:pPr>
              <w:pStyle w:val="ListParagraph"/>
              <w:ind w:left="0"/>
            </w:pPr>
            <w:r>
              <w:t xml:space="preserve">Costs of materials and </w:t>
            </w:r>
            <w:r>
              <w:lastRenderedPageBreak/>
              <w:t>supplies</w:t>
            </w:r>
          </w:p>
          <w:p w:rsidR="000D517F" w:rsidRDefault="000D517F" w:rsidP="00C86506">
            <w:pPr>
              <w:pStyle w:val="ListParagraph"/>
              <w:ind w:left="0"/>
            </w:pPr>
          </w:p>
          <w:p w:rsidR="000D517F" w:rsidRPr="00A00951" w:rsidRDefault="000D517F" w:rsidP="00C86506">
            <w:pPr>
              <w:pStyle w:val="ListParagraph"/>
              <w:ind w:left="0"/>
            </w:pPr>
            <w:r>
              <w:t>Costs for outings and events</w:t>
            </w:r>
          </w:p>
        </w:tc>
        <w:tc>
          <w:tcPr>
            <w:tcW w:w="734" w:type="pct"/>
            <w:shd w:val="clear" w:color="auto" w:fill="auto"/>
          </w:tcPr>
          <w:p w:rsidR="000D517F" w:rsidRDefault="000D517F" w:rsidP="007A6BD4">
            <w:pPr>
              <w:pStyle w:val="ListParagraph"/>
              <w:ind w:left="0"/>
            </w:pPr>
            <w:r>
              <w:lastRenderedPageBreak/>
              <w:t>100 isolated people contacted</w:t>
            </w:r>
          </w:p>
          <w:p w:rsidR="000D517F" w:rsidRDefault="000D517F" w:rsidP="007A6BD4">
            <w:pPr>
              <w:pStyle w:val="ListParagraph"/>
              <w:ind w:left="0"/>
            </w:pPr>
          </w:p>
          <w:p w:rsidR="000D517F" w:rsidRDefault="000D517F" w:rsidP="007A6BD4">
            <w:pPr>
              <w:pStyle w:val="ListParagraph"/>
              <w:ind w:left="0"/>
            </w:pPr>
            <w:r>
              <w:t xml:space="preserve">20 people </w:t>
            </w:r>
            <w:r>
              <w:lastRenderedPageBreak/>
              <w:t xml:space="preserve">regularly engaged </w:t>
            </w:r>
          </w:p>
          <w:p w:rsidR="000D517F" w:rsidRDefault="000D517F" w:rsidP="007A6BD4">
            <w:pPr>
              <w:pStyle w:val="ListParagraph"/>
              <w:ind w:left="0"/>
            </w:pPr>
          </w:p>
          <w:p w:rsidR="000D517F" w:rsidRPr="00A00951" w:rsidRDefault="000D517F" w:rsidP="007A6BD4">
            <w:pPr>
              <w:pStyle w:val="ListParagraph"/>
              <w:ind w:left="0"/>
            </w:pPr>
            <w:r>
              <w:t>12 volunteers receive training and support</w:t>
            </w:r>
          </w:p>
        </w:tc>
        <w:tc>
          <w:tcPr>
            <w:tcW w:w="734" w:type="pct"/>
            <w:shd w:val="clear" w:color="auto" w:fill="auto"/>
          </w:tcPr>
          <w:p w:rsidR="000D517F" w:rsidRDefault="000D517F" w:rsidP="007A6BD4">
            <w:pPr>
              <w:pStyle w:val="ListParagraph"/>
              <w:ind w:left="0"/>
            </w:pPr>
            <w:r>
              <w:lastRenderedPageBreak/>
              <w:t xml:space="preserve">People who feel disconnected have an increased sense </w:t>
            </w:r>
            <w:r>
              <w:lastRenderedPageBreak/>
              <w:t>of belonging</w:t>
            </w:r>
          </w:p>
          <w:p w:rsidR="000D517F" w:rsidRDefault="000D517F" w:rsidP="007A6BD4">
            <w:pPr>
              <w:pStyle w:val="ListParagraph"/>
              <w:ind w:left="0"/>
            </w:pPr>
          </w:p>
          <w:p w:rsidR="000D517F" w:rsidRPr="00A00951" w:rsidRDefault="000D517F" w:rsidP="007A6BD4">
            <w:pPr>
              <w:pStyle w:val="ListParagraph"/>
              <w:ind w:left="0"/>
            </w:pPr>
            <w:r>
              <w:t>Those benefitting from the project also contribute to its development</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lastRenderedPageBreak/>
              <w:t>20000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65008E">
              <w:rPr>
                <w:b/>
                <w:color w:val="0070C0"/>
              </w:rPr>
              <w:lastRenderedPageBreak/>
              <w:t>Mental Health Awareness</w:t>
            </w:r>
            <w:r w:rsidRPr="0065008E">
              <w:t xml:space="preserve"> – to develop knowledge and responses to mental health issues in BLSW11 and beyond</w:t>
            </w:r>
            <w:r>
              <w:t xml:space="preserve"> for local groups organisations and individuals</w:t>
            </w:r>
          </w:p>
          <w:p w:rsidR="000D517F" w:rsidRDefault="000D517F" w:rsidP="000C36A6"/>
          <w:p w:rsidR="000D517F" w:rsidRPr="000C36A6" w:rsidRDefault="000D517F" w:rsidP="000C36A6">
            <w:pPr>
              <w:ind w:left="743"/>
            </w:pPr>
            <w:r>
              <w:t>Challenge pre-conceptions and stereotypes and develop local skills in recognition of and engagement with mental health concerns.</w:t>
            </w:r>
          </w:p>
        </w:tc>
        <w:tc>
          <w:tcPr>
            <w:tcW w:w="734" w:type="pct"/>
            <w:shd w:val="clear" w:color="auto" w:fill="auto"/>
          </w:tcPr>
          <w:p w:rsidR="000D517F" w:rsidRDefault="000D517F" w:rsidP="00C86506">
            <w:pPr>
              <w:pStyle w:val="ListParagraph"/>
              <w:ind w:left="0"/>
            </w:pPr>
            <w:r>
              <w:t>Publicity</w:t>
            </w:r>
          </w:p>
          <w:p w:rsidR="000D517F" w:rsidRDefault="000D517F" w:rsidP="00C86506">
            <w:pPr>
              <w:pStyle w:val="ListParagraph"/>
              <w:ind w:left="0"/>
            </w:pPr>
          </w:p>
          <w:p w:rsidR="000D517F" w:rsidRDefault="000D517F" w:rsidP="00C86506">
            <w:pPr>
              <w:pStyle w:val="ListParagraph"/>
              <w:ind w:left="0"/>
            </w:pPr>
            <w:r>
              <w:t>Events</w:t>
            </w:r>
          </w:p>
          <w:p w:rsidR="000D517F" w:rsidRDefault="000D517F" w:rsidP="00C86506">
            <w:pPr>
              <w:pStyle w:val="ListParagraph"/>
              <w:ind w:left="0"/>
            </w:pPr>
          </w:p>
          <w:p w:rsidR="000D517F" w:rsidRDefault="000D517F" w:rsidP="00C86506">
            <w:pPr>
              <w:pStyle w:val="ListParagraph"/>
              <w:ind w:left="0"/>
            </w:pPr>
            <w:r>
              <w:t>Volunteers</w:t>
            </w:r>
          </w:p>
          <w:p w:rsidR="000D517F" w:rsidRDefault="000D517F" w:rsidP="00C86506">
            <w:pPr>
              <w:pStyle w:val="ListParagraph"/>
              <w:ind w:left="0"/>
            </w:pPr>
          </w:p>
          <w:p w:rsidR="000D517F" w:rsidRPr="00A00951" w:rsidRDefault="000D517F" w:rsidP="00C86506">
            <w:pPr>
              <w:pStyle w:val="ListParagraph"/>
              <w:ind w:left="0"/>
            </w:pPr>
            <w:r>
              <w:t>Professionals</w:t>
            </w:r>
          </w:p>
        </w:tc>
        <w:tc>
          <w:tcPr>
            <w:tcW w:w="734" w:type="pct"/>
            <w:shd w:val="clear" w:color="auto" w:fill="auto"/>
          </w:tcPr>
          <w:p w:rsidR="000D517F" w:rsidRDefault="000D517F" w:rsidP="007A6BD4">
            <w:pPr>
              <w:pStyle w:val="ListParagraph"/>
              <w:ind w:left="0"/>
            </w:pPr>
            <w:r>
              <w:t>4 X events a year (linked to CTE’s)</w:t>
            </w:r>
          </w:p>
          <w:p w:rsidR="000D517F" w:rsidRDefault="000D517F" w:rsidP="007A6BD4">
            <w:pPr>
              <w:pStyle w:val="ListParagraph"/>
              <w:ind w:left="0"/>
            </w:pPr>
          </w:p>
          <w:p w:rsidR="000D517F" w:rsidRDefault="000D517F" w:rsidP="007A6BD4">
            <w:pPr>
              <w:pStyle w:val="ListParagraph"/>
              <w:ind w:left="0"/>
            </w:pPr>
            <w:r>
              <w:t>100 people achieve mental health first aid</w:t>
            </w:r>
          </w:p>
          <w:p w:rsidR="000D517F" w:rsidRDefault="000D517F" w:rsidP="007A6BD4">
            <w:pPr>
              <w:pStyle w:val="ListParagraph"/>
              <w:ind w:left="0"/>
            </w:pPr>
          </w:p>
          <w:p w:rsidR="000D517F" w:rsidRPr="00A00951" w:rsidRDefault="000D517F" w:rsidP="007A6BD4">
            <w:pPr>
              <w:pStyle w:val="ListParagraph"/>
              <w:ind w:left="0"/>
            </w:pPr>
            <w:r>
              <w:t>20 organisations gain certificate of mental health awareness</w:t>
            </w:r>
          </w:p>
        </w:tc>
        <w:tc>
          <w:tcPr>
            <w:tcW w:w="734" w:type="pct"/>
            <w:shd w:val="clear" w:color="auto" w:fill="auto"/>
          </w:tcPr>
          <w:p w:rsidR="000D517F" w:rsidRDefault="000D517F" w:rsidP="007A6BD4">
            <w:pPr>
              <w:pStyle w:val="ListParagraph"/>
              <w:ind w:left="0"/>
            </w:pPr>
            <w:r>
              <w:t>Reduction in the stigma of mental health</w:t>
            </w:r>
          </w:p>
          <w:p w:rsidR="000D517F" w:rsidRDefault="000D517F" w:rsidP="007A6BD4">
            <w:pPr>
              <w:pStyle w:val="ListParagraph"/>
              <w:ind w:left="0"/>
            </w:pPr>
          </w:p>
          <w:p w:rsidR="000D517F" w:rsidRPr="00A00951" w:rsidRDefault="000D517F" w:rsidP="007A6BD4">
            <w:pPr>
              <w:pStyle w:val="ListParagraph"/>
              <w:ind w:left="0"/>
            </w:pPr>
            <w:r>
              <w:t>People become aware of and use a supportive community</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15000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65008E">
              <w:rPr>
                <w:b/>
                <w:color w:val="0070C0"/>
              </w:rPr>
              <w:t xml:space="preserve">Mediation </w:t>
            </w:r>
            <w:r w:rsidRPr="0065008E">
              <w:t>– develop a process for identifying and managing conflict within and between community members, groups and organisations</w:t>
            </w:r>
            <w:r>
              <w:t>.</w:t>
            </w:r>
          </w:p>
          <w:p w:rsidR="000D517F" w:rsidRDefault="000D517F" w:rsidP="000C36A6">
            <w:pPr>
              <w:pStyle w:val="ListParagraph"/>
              <w:ind w:left="709"/>
            </w:pPr>
          </w:p>
          <w:p w:rsidR="000D517F" w:rsidRDefault="000D517F" w:rsidP="000C36A6">
            <w:pPr>
              <w:pStyle w:val="ListParagraph"/>
              <w:ind w:left="709"/>
            </w:pPr>
            <w:r>
              <w:t xml:space="preserve">Some parts of our community do not connect or engage with each other (for historic, cultural or faith reasons). </w:t>
            </w:r>
          </w:p>
          <w:p w:rsidR="000D517F" w:rsidRDefault="000D517F" w:rsidP="004E08AE"/>
          <w:p w:rsidR="000D517F" w:rsidRPr="004E08AE" w:rsidRDefault="000D517F" w:rsidP="004E08AE">
            <w:pPr>
              <w:ind w:left="743"/>
            </w:pPr>
          </w:p>
        </w:tc>
        <w:tc>
          <w:tcPr>
            <w:tcW w:w="734" w:type="pct"/>
            <w:shd w:val="clear" w:color="auto" w:fill="auto"/>
          </w:tcPr>
          <w:p w:rsidR="000D517F" w:rsidRPr="00A00951" w:rsidRDefault="000D517F" w:rsidP="00C86506">
            <w:pPr>
              <w:pStyle w:val="ListParagraph"/>
              <w:ind w:left="0"/>
            </w:pPr>
            <w:r>
              <w:t>Development of a community mediation programme (in conjunction with Wandsworth Mediation Service)</w:t>
            </w:r>
          </w:p>
        </w:tc>
        <w:tc>
          <w:tcPr>
            <w:tcW w:w="734" w:type="pct"/>
            <w:shd w:val="clear" w:color="auto" w:fill="auto"/>
          </w:tcPr>
          <w:p w:rsidR="000D517F" w:rsidRDefault="000D517F" w:rsidP="007A6BD4">
            <w:pPr>
              <w:pStyle w:val="ListParagraph"/>
              <w:ind w:left="0"/>
            </w:pPr>
            <w:r>
              <w:t>5 organisations participate</w:t>
            </w:r>
          </w:p>
          <w:p w:rsidR="000D517F" w:rsidRDefault="000D517F" w:rsidP="007A6BD4">
            <w:pPr>
              <w:pStyle w:val="ListParagraph"/>
              <w:ind w:left="0"/>
            </w:pPr>
          </w:p>
          <w:p w:rsidR="000D517F" w:rsidRDefault="000D517F" w:rsidP="007A6BD4">
            <w:pPr>
              <w:pStyle w:val="ListParagraph"/>
              <w:ind w:left="0"/>
            </w:pPr>
            <w:r>
              <w:t>20 x people benefit</w:t>
            </w:r>
          </w:p>
          <w:p w:rsidR="000D517F" w:rsidRDefault="000D517F" w:rsidP="007A6BD4">
            <w:pPr>
              <w:pStyle w:val="ListParagraph"/>
              <w:ind w:left="0"/>
            </w:pPr>
          </w:p>
          <w:p w:rsidR="000D517F" w:rsidRPr="00A00951" w:rsidRDefault="000D517F" w:rsidP="007A6BD4">
            <w:pPr>
              <w:pStyle w:val="ListParagraph"/>
              <w:ind w:left="0"/>
            </w:pPr>
            <w:r>
              <w:t>4 joint projects emerge</w:t>
            </w:r>
          </w:p>
        </w:tc>
        <w:tc>
          <w:tcPr>
            <w:tcW w:w="734" w:type="pct"/>
            <w:shd w:val="clear" w:color="auto" w:fill="auto"/>
          </w:tcPr>
          <w:p w:rsidR="000D517F" w:rsidRDefault="000D517F" w:rsidP="007A6BD4">
            <w:pPr>
              <w:pStyle w:val="ListParagraph"/>
              <w:ind w:left="0"/>
            </w:pPr>
            <w:r>
              <w:t>More people feel that Battersea is, or has potential to be, their community</w:t>
            </w:r>
          </w:p>
          <w:p w:rsidR="000D517F" w:rsidRDefault="000D517F" w:rsidP="007A6BD4">
            <w:pPr>
              <w:pStyle w:val="ListParagraph"/>
              <w:ind w:left="0"/>
            </w:pPr>
          </w:p>
          <w:p w:rsidR="000D517F" w:rsidRPr="00A00951" w:rsidRDefault="000D517F" w:rsidP="007A6BD4">
            <w:pPr>
              <w:pStyle w:val="ListParagraph"/>
              <w:ind w:left="0"/>
            </w:pPr>
            <w:r>
              <w:t>Stronger, more positive relations between different parts of our community</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15000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65008E">
              <w:rPr>
                <w:b/>
                <w:color w:val="0070C0"/>
              </w:rPr>
              <w:t>Arts &amp; Culture</w:t>
            </w:r>
            <w:r w:rsidRPr="0065008E">
              <w:t xml:space="preserve"> – a thematic approach to </w:t>
            </w:r>
            <w:r>
              <w:t xml:space="preserve">Youth engagement, </w:t>
            </w:r>
            <w:r w:rsidRPr="0065008E">
              <w:t>Intergenerational, CTE and Men’s mental health</w:t>
            </w:r>
            <w:r>
              <w:t xml:space="preserve"> through the development of and arts and culture ‘hub’ that promotes diversity and inclusion.</w:t>
            </w:r>
          </w:p>
          <w:p w:rsidR="000D517F" w:rsidRDefault="000D517F" w:rsidP="001A66E2"/>
          <w:p w:rsidR="000D517F" w:rsidRPr="001A66E2" w:rsidRDefault="000D517F" w:rsidP="001A66E2">
            <w:pPr>
              <w:ind w:left="743"/>
            </w:pPr>
            <w:r>
              <w:lastRenderedPageBreak/>
              <w:t xml:space="preserve">Develop skills in production, design, publishing, social media, etc. </w:t>
            </w:r>
          </w:p>
        </w:tc>
        <w:tc>
          <w:tcPr>
            <w:tcW w:w="734" w:type="pct"/>
            <w:shd w:val="clear" w:color="auto" w:fill="auto"/>
          </w:tcPr>
          <w:p w:rsidR="000D517F" w:rsidRDefault="000D517F" w:rsidP="00C86506">
            <w:pPr>
              <w:pStyle w:val="ListParagraph"/>
              <w:ind w:left="0"/>
            </w:pPr>
            <w:r>
              <w:lastRenderedPageBreak/>
              <w:t>Identify local delivery partners</w:t>
            </w:r>
          </w:p>
          <w:p w:rsidR="000D517F" w:rsidRDefault="000D517F" w:rsidP="00C86506">
            <w:pPr>
              <w:pStyle w:val="ListParagraph"/>
              <w:ind w:left="0"/>
            </w:pPr>
            <w:r>
              <w:t xml:space="preserve">(BAC, Arts Lacuna,  Colleges, etc) </w:t>
            </w:r>
          </w:p>
          <w:p w:rsidR="000D517F" w:rsidRDefault="000D517F" w:rsidP="00C86506">
            <w:pPr>
              <w:pStyle w:val="ListParagraph"/>
              <w:ind w:left="0"/>
            </w:pPr>
          </w:p>
          <w:p w:rsidR="000D517F" w:rsidRPr="00A00951" w:rsidRDefault="000D517F" w:rsidP="00C86506">
            <w:pPr>
              <w:pStyle w:val="ListParagraph"/>
              <w:ind w:left="0"/>
            </w:pPr>
          </w:p>
        </w:tc>
        <w:tc>
          <w:tcPr>
            <w:tcW w:w="734" w:type="pct"/>
            <w:shd w:val="clear" w:color="auto" w:fill="auto"/>
          </w:tcPr>
          <w:p w:rsidR="000D517F" w:rsidRDefault="000D517F" w:rsidP="007A6BD4">
            <w:pPr>
              <w:pStyle w:val="ListParagraph"/>
              <w:ind w:left="0"/>
            </w:pPr>
            <w:r>
              <w:lastRenderedPageBreak/>
              <w:t>10 X Volunteers</w:t>
            </w:r>
          </w:p>
          <w:p w:rsidR="000D517F" w:rsidRDefault="000D517F" w:rsidP="007A6BD4">
            <w:pPr>
              <w:pStyle w:val="ListParagraph"/>
              <w:ind w:left="0"/>
            </w:pPr>
          </w:p>
          <w:p w:rsidR="000D517F" w:rsidRDefault="000D517F" w:rsidP="007A6BD4">
            <w:pPr>
              <w:pStyle w:val="ListParagraph"/>
              <w:ind w:left="0"/>
            </w:pPr>
            <w:r>
              <w:t>30 X beneficiaries</w:t>
            </w:r>
          </w:p>
          <w:p w:rsidR="000D517F" w:rsidRDefault="000D517F" w:rsidP="007A6BD4">
            <w:pPr>
              <w:pStyle w:val="ListParagraph"/>
              <w:ind w:left="0"/>
            </w:pPr>
          </w:p>
          <w:p w:rsidR="000D517F" w:rsidRDefault="000D517F" w:rsidP="007A6BD4">
            <w:pPr>
              <w:pStyle w:val="ListParagraph"/>
              <w:ind w:left="0"/>
            </w:pPr>
            <w:r>
              <w:t>2 X Social Enterprises</w:t>
            </w:r>
          </w:p>
          <w:p w:rsidR="000D517F" w:rsidRDefault="000D517F" w:rsidP="007A6BD4">
            <w:pPr>
              <w:pStyle w:val="ListParagraph"/>
              <w:ind w:left="0"/>
            </w:pPr>
          </w:p>
          <w:p w:rsidR="000D517F" w:rsidRPr="00A00951" w:rsidRDefault="000D517F" w:rsidP="007A6BD4">
            <w:pPr>
              <w:pStyle w:val="ListParagraph"/>
              <w:ind w:left="0"/>
            </w:pPr>
            <w:r>
              <w:t>2 X Events a year</w:t>
            </w:r>
          </w:p>
        </w:tc>
        <w:tc>
          <w:tcPr>
            <w:tcW w:w="734" w:type="pct"/>
            <w:shd w:val="clear" w:color="auto" w:fill="auto"/>
          </w:tcPr>
          <w:p w:rsidR="000D517F" w:rsidRDefault="000D517F" w:rsidP="00480B82">
            <w:pPr>
              <w:pStyle w:val="ListParagraph"/>
              <w:ind w:left="0"/>
            </w:pPr>
            <w:r>
              <w:lastRenderedPageBreak/>
              <w:t>Building local capacity</w:t>
            </w:r>
          </w:p>
          <w:p w:rsidR="000D517F" w:rsidRDefault="000D517F" w:rsidP="00480B82">
            <w:pPr>
              <w:pStyle w:val="ListParagraph"/>
              <w:ind w:left="0"/>
            </w:pPr>
          </w:p>
          <w:p w:rsidR="000D517F" w:rsidRDefault="000D517F" w:rsidP="00480B82">
            <w:pPr>
              <w:pStyle w:val="ListParagraph"/>
              <w:ind w:left="0"/>
            </w:pPr>
            <w:r>
              <w:t>Increasing confidence</w:t>
            </w:r>
          </w:p>
          <w:p w:rsidR="000D517F" w:rsidRDefault="000D517F" w:rsidP="00480B82">
            <w:pPr>
              <w:pStyle w:val="ListParagraph"/>
              <w:ind w:left="0"/>
            </w:pPr>
          </w:p>
          <w:p w:rsidR="000D517F" w:rsidRDefault="000D517F" w:rsidP="00480B82">
            <w:pPr>
              <w:pStyle w:val="ListParagraph"/>
              <w:ind w:left="0"/>
            </w:pPr>
            <w:r>
              <w:lastRenderedPageBreak/>
              <w:t>Reducing anxiety</w:t>
            </w:r>
          </w:p>
          <w:p w:rsidR="000D517F" w:rsidRDefault="000D517F" w:rsidP="00480B82">
            <w:pPr>
              <w:pStyle w:val="ListParagraph"/>
              <w:ind w:left="0"/>
            </w:pPr>
          </w:p>
          <w:p w:rsidR="000D517F" w:rsidRDefault="000D517F" w:rsidP="00480B82">
            <w:pPr>
              <w:pStyle w:val="ListParagraph"/>
              <w:ind w:left="0"/>
            </w:pPr>
            <w:r>
              <w:t>Improving Mental Health</w:t>
            </w:r>
          </w:p>
          <w:p w:rsidR="000D517F" w:rsidRDefault="000D517F" w:rsidP="00480B82">
            <w:pPr>
              <w:pStyle w:val="ListParagraph"/>
              <w:ind w:left="0"/>
            </w:pPr>
          </w:p>
          <w:p w:rsidR="000D517F" w:rsidRPr="00A00951" w:rsidRDefault="000D517F" w:rsidP="00480B82">
            <w:pPr>
              <w:pStyle w:val="ListParagraph"/>
              <w:ind w:left="0"/>
            </w:pP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lastRenderedPageBreak/>
              <w:t>15000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65008E">
              <w:rPr>
                <w:b/>
                <w:color w:val="0070C0"/>
              </w:rPr>
              <w:lastRenderedPageBreak/>
              <w:t>Fitness</w:t>
            </w:r>
            <w:r w:rsidRPr="0065008E">
              <w:t xml:space="preserve"> – a thematic approach to wellbeing projects connected to CTE</w:t>
            </w:r>
            <w:r>
              <w:t xml:space="preserve">, developing a community fitness programme in partnership with others to develop a well-being ‘hub’. </w:t>
            </w:r>
          </w:p>
          <w:p w:rsidR="000D517F" w:rsidRDefault="000D517F" w:rsidP="00D65BB0"/>
          <w:p w:rsidR="000D517F" w:rsidRPr="00D65BB0" w:rsidRDefault="000D517F" w:rsidP="00D65BB0">
            <w:pPr>
              <w:ind w:left="743"/>
            </w:pPr>
            <w:r>
              <w:t>Aim to reduce obesity and numbers with cardiovascular problems.</w:t>
            </w:r>
          </w:p>
        </w:tc>
        <w:tc>
          <w:tcPr>
            <w:tcW w:w="734" w:type="pct"/>
            <w:shd w:val="clear" w:color="auto" w:fill="auto"/>
          </w:tcPr>
          <w:p w:rsidR="000D517F" w:rsidRDefault="000D517F" w:rsidP="00C86506">
            <w:pPr>
              <w:pStyle w:val="ListParagraph"/>
              <w:ind w:left="0"/>
            </w:pPr>
            <w:r>
              <w:t>Identify local delivery partners,</w:t>
            </w:r>
          </w:p>
          <w:p w:rsidR="000D517F" w:rsidRDefault="000D517F" w:rsidP="00C86506">
            <w:pPr>
              <w:pStyle w:val="ListParagraph"/>
              <w:ind w:left="0"/>
            </w:pPr>
          </w:p>
          <w:p w:rsidR="000D517F" w:rsidRPr="00A00951" w:rsidRDefault="000D517F" w:rsidP="00C86506">
            <w:pPr>
              <w:pStyle w:val="ListParagraph"/>
              <w:ind w:left="0"/>
            </w:pPr>
          </w:p>
        </w:tc>
        <w:tc>
          <w:tcPr>
            <w:tcW w:w="734" w:type="pct"/>
            <w:shd w:val="clear" w:color="auto" w:fill="auto"/>
          </w:tcPr>
          <w:p w:rsidR="000D517F" w:rsidRDefault="000D517F" w:rsidP="007A6BD4">
            <w:pPr>
              <w:pStyle w:val="ListParagraph"/>
              <w:ind w:left="0"/>
            </w:pPr>
            <w:r>
              <w:t>5 X Volunteers</w:t>
            </w:r>
          </w:p>
          <w:p w:rsidR="000D517F" w:rsidRDefault="000D517F" w:rsidP="007A6BD4">
            <w:pPr>
              <w:pStyle w:val="ListParagraph"/>
              <w:ind w:left="0"/>
            </w:pPr>
          </w:p>
          <w:p w:rsidR="000D517F" w:rsidRDefault="000D517F" w:rsidP="007A6BD4">
            <w:pPr>
              <w:pStyle w:val="ListParagraph"/>
              <w:ind w:left="0"/>
            </w:pPr>
            <w:r>
              <w:t>20 X Beneficiaries</w:t>
            </w:r>
          </w:p>
          <w:p w:rsidR="000D517F" w:rsidRDefault="000D517F" w:rsidP="007A6BD4">
            <w:pPr>
              <w:pStyle w:val="ListParagraph"/>
              <w:ind w:left="0"/>
            </w:pPr>
          </w:p>
          <w:p w:rsidR="000D517F" w:rsidRPr="00A00951" w:rsidRDefault="000D517F" w:rsidP="007A6BD4">
            <w:pPr>
              <w:pStyle w:val="ListParagraph"/>
              <w:ind w:left="0"/>
            </w:pPr>
            <w:r>
              <w:t>2 X events a year</w:t>
            </w:r>
          </w:p>
        </w:tc>
        <w:tc>
          <w:tcPr>
            <w:tcW w:w="734" w:type="pct"/>
            <w:shd w:val="clear" w:color="auto" w:fill="auto"/>
          </w:tcPr>
          <w:p w:rsidR="000D517F" w:rsidRDefault="000D517F" w:rsidP="007A6BD4">
            <w:pPr>
              <w:pStyle w:val="ListParagraph"/>
              <w:ind w:left="0"/>
            </w:pPr>
            <w:r>
              <w:t>Reduction in depression</w:t>
            </w:r>
          </w:p>
          <w:p w:rsidR="000D517F" w:rsidRDefault="000D517F" w:rsidP="007A6BD4">
            <w:pPr>
              <w:pStyle w:val="ListParagraph"/>
              <w:ind w:left="0"/>
            </w:pPr>
          </w:p>
          <w:p w:rsidR="000D517F" w:rsidRDefault="000D517F" w:rsidP="007A6BD4">
            <w:pPr>
              <w:pStyle w:val="ListParagraph"/>
              <w:ind w:left="0"/>
            </w:pPr>
            <w:r>
              <w:t>Increasing self-awareness</w:t>
            </w:r>
          </w:p>
          <w:p w:rsidR="000D517F" w:rsidRDefault="000D517F" w:rsidP="007A6BD4">
            <w:pPr>
              <w:pStyle w:val="ListParagraph"/>
              <w:ind w:left="0"/>
            </w:pPr>
          </w:p>
          <w:p w:rsidR="000D517F" w:rsidRDefault="000D517F" w:rsidP="007A6BD4">
            <w:pPr>
              <w:pStyle w:val="ListParagraph"/>
              <w:ind w:left="0"/>
            </w:pPr>
            <w:r>
              <w:t>Improving health outcomes</w:t>
            </w:r>
          </w:p>
          <w:p w:rsidR="000D517F" w:rsidRPr="00A00951" w:rsidRDefault="000D517F" w:rsidP="007A6BD4">
            <w:pPr>
              <w:pStyle w:val="ListParagraph"/>
              <w:ind w:left="0"/>
            </w:pP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15000</w:t>
            </w:r>
          </w:p>
        </w:tc>
      </w:tr>
      <w:tr w:rsidR="000D517F" w:rsidTr="00480B82">
        <w:trPr>
          <w:trHeight w:val="2139"/>
        </w:trPr>
        <w:tc>
          <w:tcPr>
            <w:tcW w:w="2280" w:type="pct"/>
            <w:shd w:val="clear" w:color="auto" w:fill="auto"/>
          </w:tcPr>
          <w:p w:rsidR="000D517F" w:rsidRDefault="000D517F" w:rsidP="0014701B">
            <w:pPr>
              <w:pStyle w:val="ListParagraph"/>
              <w:numPr>
                <w:ilvl w:val="0"/>
                <w:numId w:val="1"/>
              </w:numPr>
              <w:ind w:left="709" w:hanging="502"/>
            </w:pPr>
            <w:r w:rsidRPr="009A40BD">
              <w:rPr>
                <w:b/>
                <w:color w:val="0070C0"/>
              </w:rPr>
              <w:t>Building Futures</w:t>
            </w:r>
            <w:r w:rsidRPr="009A40BD">
              <w:t xml:space="preserve"> – based on the successful BLSW11 pilot; creating pathways to volunteering, work, community involvement through 1-on-1 support, guidance and advice for those that might not feel comfortable approaching traditional service providers.</w:t>
            </w:r>
          </w:p>
          <w:p w:rsidR="000D517F" w:rsidRPr="009A40BD" w:rsidRDefault="000D517F" w:rsidP="0014701B">
            <w:pPr>
              <w:pStyle w:val="ListParagraph"/>
              <w:ind w:left="709"/>
            </w:pPr>
          </w:p>
          <w:p w:rsidR="000D517F" w:rsidRDefault="000D517F" w:rsidP="0014701B">
            <w:pPr>
              <w:ind w:left="709" w:hanging="284"/>
            </w:pPr>
            <w:r>
              <w:t xml:space="preserve">    </w:t>
            </w:r>
            <w:r w:rsidRPr="009A40BD">
              <w:t>The key to the pilot’s success lay in the non-judgemental approach and accessibility of the advisor who would meet people, sometimes over several sessions in a location that suited them.</w:t>
            </w:r>
          </w:p>
          <w:p w:rsidR="000D517F" w:rsidRDefault="000D517F" w:rsidP="0014701B">
            <w:pPr>
              <w:ind w:left="709" w:hanging="284"/>
            </w:pPr>
          </w:p>
          <w:p w:rsidR="000D517F" w:rsidRDefault="000D517F" w:rsidP="00F0399A">
            <w:pPr>
              <w:pStyle w:val="ListParagraph"/>
              <w:ind w:left="743"/>
            </w:pPr>
            <w:r>
              <w:t>The terms of reference for this work to include a particular attention to the most vulnerable including older people, people with disabilities and/or mental health issues.</w:t>
            </w:r>
          </w:p>
          <w:p w:rsidR="003D7168" w:rsidRDefault="003D7168" w:rsidP="00F0399A">
            <w:pPr>
              <w:pStyle w:val="ListParagraph"/>
              <w:ind w:left="743"/>
            </w:pPr>
          </w:p>
          <w:p w:rsidR="003D7168" w:rsidRDefault="003D7168" w:rsidP="00F0399A">
            <w:pPr>
              <w:pStyle w:val="ListParagraph"/>
              <w:ind w:left="743"/>
            </w:pPr>
          </w:p>
          <w:p w:rsidR="003D7168" w:rsidRPr="009A40BD" w:rsidRDefault="003D7168" w:rsidP="00F0399A">
            <w:pPr>
              <w:pStyle w:val="ListParagraph"/>
              <w:ind w:left="743"/>
            </w:pPr>
          </w:p>
        </w:tc>
        <w:tc>
          <w:tcPr>
            <w:tcW w:w="734" w:type="pct"/>
            <w:shd w:val="clear" w:color="auto" w:fill="auto"/>
          </w:tcPr>
          <w:p w:rsidR="000D517F" w:rsidRDefault="000D517F" w:rsidP="00C86506">
            <w:pPr>
              <w:pStyle w:val="ListParagraph"/>
              <w:ind w:left="0"/>
            </w:pPr>
            <w:r>
              <w:t>Professional advice and guidance service located in different areas within BLSW11</w:t>
            </w:r>
          </w:p>
          <w:p w:rsidR="000D517F" w:rsidRDefault="000D517F" w:rsidP="00C86506">
            <w:pPr>
              <w:pStyle w:val="ListParagraph"/>
              <w:ind w:left="0"/>
            </w:pPr>
          </w:p>
          <w:p w:rsidR="000D517F" w:rsidRPr="00A00951" w:rsidRDefault="000D517F" w:rsidP="00C86506">
            <w:pPr>
              <w:pStyle w:val="ListParagraph"/>
              <w:ind w:left="0"/>
            </w:pPr>
            <w:r>
              <w:t xml:space="preserve"> </w:t>
            </w:r>
          </w:p>
        </w:tc>
        <w:tc>
          <w:tcPr>
            <w:tcW w:w="734" w:type="pct"/>
            <w:shd w:val="clear" w:color="auto" w:fill="auto"/>
          </w:tcPr>
          <w:p w:rsidR="000D517F" w:rsidRDefault="000D517F" w:rsidP="007A6BD4">
            <w:pPr>
              <w:pStyle w:val="ListParagraph"/>
              <w:ind w:left="0"/>
            </w:pPr>
            <w:r>
              <w:t>24 local people access the service each year</w:t>
            </w:r>
          </w:p>
          <w:p w:rsidR="000D517F" w:rsidRDefault="000D517F" w:rsidP="007A6BD4">
            <w:pPr>
              <w:pStyle w:val="ListParagraph"/>
              <w:ind w:left="0"/>
            </w:pPr>
          </w:p>
          <w:p w:rsidR="000D517F" w:rsidRDefault="000D517F" w:rsidP="007A6BD4">
            <w:pPr>
              <w:pStyle w:val="ListParagraph"/>
              <w:ind w:left="0"/>
            </w:pPr>
            <w:r>
              <w:t>10 x people into training and/or support programmes</w:t>
            </w:r>
          </w:p>
          <w:p w:rsidR="000D517F" w:rsidRDefault="000D517F" w:rsidP="007A6BD4">
            <w:pPr>
              <w:pStyle w:val="ListParagraph"/>
              <w:ind w:left="0"/>
            </w:pPr>
          </w:p>
          <w:p w:rsidR="000D517F" w:rsidRDefault="000D517F" w:rsidP="007A6BD4">
            <w:pPr>
              <w:pStyle w:val="ListParagraph"/>
              <w:ind w:left="0"/>
            </w:pPr>
            <w:r>
              <w:t>5 people gain employment</w:t>
            </w:r>
          </w:p>
          <w:p w:rsidR="000D517F" w:rsidRDefault="000D517F" w:rsidP="007A6BD4">
            <w:pPr>
              <w:pStyle w:val="ListParagraph"/>
              <w:ind w:left="0"/>
            </w:pPr>
          </w:p>
          <w:p w:rsidR="000D517F" w:rsidRPr="00A00951" w:rsidRDefault="000D517F" w:rsidP="007A6BD4">
            <w:pPr>
              <w:pStyle w:val="ListParagraph"/>
              <w:ind w:left="0"/>
            </w:pPr>
            <w:r>
              <w:t>5 people become volunteers</w:t>
            </w:r>
          </w:p>
        </w:tc>
        <w:tc>
          <w:tcPr>
            <w:tcW w:w="734" w:type="pct"/>
            <w:shd w:val="clear" w:color="auto" w:fill="auto"/>
          </w:tcPr>
          <w:p w:rsidR="000D517F" w:rsidRDefault="000D517F" w:rsidP="007A6BD4">
            <w:pPr>
              <w:pStyle w:val="ListParagraph"/>
              <w:ind w:left="0"/>
            </w:pPr>
            <w:r>
              <w:t>Reduction in people with anxiety and/or depression</w:t>
            </w:r>
          </w:p>
          <w:p w:rsidR="000D517F" w:rsidRDefault="000D517F" w:rsidP="007A6BD4">
            <w:pPr>
              <w:pStyle w:val="ListParagraph"/>
              <w:ind w:left="0"/>
            </w:pPr>
          </w:p>
          <w:p w:rsidR="000D517F" w:rsidRDefault="000D517F" w:rsidP="007A6BD4">
            <w:pPr>
              <w:pStyle w:val="ListParagraph"/>
              <w:ind w:left="0"/>
            </w:pPr>
            <w:r>
              <w:t>Increase in confidence</w:t>
            </w:r>
          </w:p>
          <w:p w:rsidR="000D517F" w:rsidRDefault="000D517F" w:rsidP="007A6BD4">
            <w:pPr>
              <w:pStyle w:val="ListParagraph"/>
              <w:ind w:left="0"/>
            </w:pPr>
          </w:p>
          <w:p w:rsidR="000D517F" w:rsidRDefault="000D517F" w:rsidP="007A6BD4">
            <w:pPr>
              <w:pStyle w:val="ListParagraph"/>
              <w:ind w:left="0"/>
            </w:pPr>
            <w:r>
              <w:t>Less dependence on health services</w:t>
            </w:r>
          </w:p>
          <w:p w:rsidR="000D517F" w:rsidRDefault="000D517F" w:rsidP="007A6BD4">
            <w:pPr>
              <w:pStyle w:val="ListParagraph"/>
              <w:ind w:left="0"/>
            </w:pPr>
          </w:p>
          <w:p w:rsidR="000D517F" w:rsidRPr="00A00951" w:rsidRDefault="000D517F" w:rsidP="007A6BD4">
            <w:pPr>
              <w:pStyle w:val="ListParagraph"/>
              <w:ind w:left="0"/>
            </w:pP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20000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9A40BD">
              <w:rPr>
                <w:b/>
                <w:color w:val="0070C0"/>
              </w:rPr>
              <w:lastRenderedPageBreak/>
              <w:t>Transitional</w:t>
            </w:r>
            <w:r w:rsidRPr="009A40BD">
              <w:t xml:space="preserve"> – easing the journey from nursery to primary school, to secondary school, to college/university, to employment, from home to independent living</w:t>
            </w:r>
          </w:p>
          <w:p w:rsidR="000D517F" w:rsidRDefault="000D517F" w:rsidP="00D65BB0">
            <w:pPr>
              <w:pStyle w:val="ListParagraph"/>
              <w:ind w:left="709"/>
            </w:pPr>
          </w:p>
          <w:p w:rsidR="000D517F" w:rsidRDefault="000D517F" w:rsidP="00D65BB0">
            <w:pPr>
              <w:ind w:left="743"/>
            </w:pPr>
            <w:r>
              <w:t>Network with local schools and colleges to provide ‘feeder’ access to support from local youth and community centres.</w:t>
            </w:r>
          </w:p>
          <w:p w:rsidR="000D517F" w:rsidRPr="00D65BB0" w:rsidRDefault="000D517F" w:rsidP="00D65BB0">
            <w:pPr>
              <w:ind w:left="743"/>
            </w:pPr>
          </w:p>
        </w:tc>
        <w:tc>
          <w:tcPr>
            <w:tcW w:w="734" w:type="pct"/>
            <w:shd w:val="clear" w:color="auto" w:fill="auto"/>
          </w:tcPr>
          <w:p w:rsidR="000D517F" w:rsidRPr="00A00951" w:rsidRDefault="000D517F" w:rsidP="00C86506">
            <w:pPr>
              <w:pStyle w:val="ListParagraph"/>
              <w:ind w:left="0"/>
            </w:pPr>
            <w:r>
              <w:t>Identify local delivery partners (Youth centres, Churches, etc)</w:t>
            </w:r>
          </w:p>
        </w:tc>
        <w:tc>
          <w:tcPr>
            <w:tcW w:w="734" w:type="pct"/>
            <w:shd w:val="clear" w:color="auto" w:fill="auto"/>
          </w:tcPr>
          <w:p w:rsidR="000D517F" w:rsidRDefault="000D517F" w:rsidP="007A6BD4">
            <w:pPr>
              <w:pStyle w:val="ListParagraph"/>
              <w:ind w:left="0"/>
            </w:pPr>
            <w:r>
              <w:t xml:space="preserve">40 X people involved </w:t>
            </w:r>
          </w:p>
          <w:p w:rsidR="000D517F" w:rsidRDefault="000D517F" w:rsidP="007A6BD4">
            <w:pPr>
              <w:pStyle w:val="ListParagraph"/>
              <w:ind w:left="0"/>
            </w:pPr>
          </w:p>
          <w:p w:rsidR="000D517F" w:rsidRPr="00A00951" w:rsidRDefault="000D517F" w:rsidP="007A6BD4">
            <w:pPr>
              <w:pStyle w:val="ListParagraph"/>
              <w:ind w:left="0"/>
            </w:pPr>
          </w:p>
        </w:tc>
        <w:tc>
          <w:tcPr>
            <w:tcW w:w="734" w:type="pct"/>
            <w:shd w:val="clear" w:color="auto" w:fill="auto"/>
          </w:tcPr>
          <w:p w:rsidR="000D517F" w:rsidRDefault="000D517F" w:rsidP="007A6BD4">
            <w:pPr>
              <w:pStyle w:val="ListParagraph"/>
              <w:ind w:left="0"/>
            </w:pPr>
            <w:r>
              <w:t xml:space="preserve">Improved attainment </w:t>
            </w:r>
          </w:p>
          <w:p w:rsidR="000D517F" w:rsidRDefault="000D517F" w:rsidP="007A6BD4">
            <w:pPr>
              <w:pStyle w:val="ListParagraph"/>
              <w:ind w:left="0"/>
            </w:pPr>
          </w:p>
          <w:p w:rsidR="000D517F" w:rsidRPr="00A00951" w:rsidRDefault="000D517F" w:rsidP="007A6BD4">
            <w:pPr>
              <w:pStyle w:val="ListParagraph"/>
              <w:ind w:left="0"/>
            </w:pPr>
            <w:r>
              <w:t>Reduction in stress and anxiety</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10000</w:t>
            </w:r>
          </w:p>
        </w:tc>
      </w:tr>
      <w:tr w:rsidR="000D517F" w:rsidTr="00480B82">
        <w:tc>
          <w:tcPr>
            <w:tcW w:w="2280" w:type="pct"/>
            <w:shd w:val="clear" w:color="auto" w:fill="auto"/>
          </w:tcPr>
          <w:p w:rsidR="000D517F" w:rsidRPr="009A40BD" w:rsidRDefault="000D517F" w:rsidP="0014701B">
            <w:pPr>
              <w:pStyle w:val="ListParagraph"/>
              <w:numPr>
                <w:ilvl w:val="0"/>
                <w:numId w:val="1"/>
              </w:numPr>
              <w:ind w:left="709" w:hanging="502"/>
            </w:pPr>
            <w:r w:rsidRPr="009A40BD">
              <w:rPr>
                <w:b/>
                <w:color w:val="0070C0"/>
              </w:rPr>
              <w:t>Mentoring</w:t>
            </w:r>
            <w:r w:rsidRPr="009A40BD">
              <w:t xml:space="preserve"> – identifying volunteers to take on long term support for young people</w:t>
            </w:r>
            <w:r>
              <w:t xml:space="preserve"> to build trusting relationships and offer guidance and advice </w:t>
            </w:r>
          </w:p>
        </w:tc>
        <w:tc>
          <w:tcPr>
            <w:tcW w:w="734" w:type="pct"/>
            <w:shd w:val="clear" w:color="auto" w:fill="auto"/>
          </w:tcPr>
          <w:p w:rsidR="000D517F" w:rsidRDefault="000D517F" w:rsidP="00C86506">
            <w:pPr>
              <w:pStyle w:val="ListParagraph"/>
              <w:ind w:left="0"/>
            </w:pPr>
            <w:r>
              <w:t>10 x volunteers</w:t>
            </w:r>
          </w:p>
          <w:p w:rsidR="000D517F" w:rsidRDefault="000D517F" w:rsidP="00C86506">
            <w:pPr>
              <w:pStyle w:val="ListParagraph"/>
              <w:ind w:left="0"/>
            </w:pPr>
          </w:p>
          <w:p w:rsidR="000D517F" w:rsidRDefault="000D517F" w:rsidP="00C86506">
            <w:pPr>
              <w:pStyle w:val="ListParagraph"/>
              <w:ind w:left="0"/>
            </w:pPr>
            <w:r>
              <w:t>Training</w:t>
            </w:r>
          </w:p>
          <w:p w:rsidR="000D517F" w:rsidRDefault="000D517F" w:rsidP="00C86506">
            <w:pPr>
              <w:pStyle w:val="ListParagraph"/>
              <w:ind w:left="0"/>
            </w:pPr>
          </w:p>
          <w:p w:rsidR="000D517F" w:rsidRPr="00A00951" w:rsidRDefault="000D517F" w:rsidP="00C86506">
            <w:pPr>
              <w:pStyle w:val="ListParagraph"/>
              <w:ind w:left="0"/>
            </w:pPr>
            <w:r>
              <w:t>Supervision</w:t>
            </w:r>
          </w:p>
        </w:tc>
        <w:tc>
          <w:tcPr>
            <w:tcW w:w="734" w:type="pct"/>
            <w:shd w:val="clear" w:color="auto" w:fill="auto"/>
          </w:tcPr>
          <w:p w:rsidR="000D517F" w:rsidRDefault="000D517F" w:rsidP="007A6BD4">
            <w:pPr>
              <w:pStyle w:val="ListParagraph"/>
              <w:ind w:left="0"/>
            </w:pPr>
            <w:r>
              <w:t>10 X young people engaged</w:t>
            </w:r>
          </w:p>
          <w:p w:rsidR="000D517F" w:rsidRDefault="000D517F" w:rsidP="007A6BD4">
            <w:pPr>
              <w:pStyle w:val="ListParagraph"/>
              <w:ind w:left="0"/>
            </w:pPr>
          </w:p>
          <w:p w:rsidR="000D517F" w:rsidRDefault="000D517F" w:rsidP="007A6BD4">
            <w:pPr>
              <w:pStyle w:val="ListParagraph"/>
              <w:ind w:left="0"/>
            </w:pPr>
            <w:r>
              <w:t>5 X take up training</w:t>
            </w:r>
          </w:p>
          <w:p w:rsidR="000D517F" w:rsidRDefault="000D517F" w:rsidP="007A6BD4">
            <w:pPr>
              <w:pStyle w:val="ListParagraph"/>
              <w:ind w:left="0"/>
            </w:pPr>
          </w:p>
          <w:p w:rsidR="000D517F" w:rsidRDefault="000D517F" w:rsidP="007A6BD4">
            <w:pPr>
              <w:pStyle w:val="ListParagraph"/>
              <w:ind w:left="0"/>
            </w:pPr>
            <w:r>
              <w:t>2 X Apprentices</w:t>
            </w:r>
          </w:p>
          <w:p w:rsidR="000D517F" w:rsidRDefault="000D517F" w:rsidP="007A6BD4">
            <w:pPr>
              <w:pStyle w:val="ListParagraph"/>
              <w:ind w:left="0"/>
            </w:pPr>
          </w:p>
          <w:p w:rsidR="000D517F" w:rsidRPr="00A00951" w:rsidRDefault="000D517F" w:rsidP="007A6BD4">
            <w:pPr>
              <w:pStyle w:val="ListParagraph"/>
              <w:ind w:left="0"/>
            </w:pPr>
            <w:r>
              <w:t>2 X Work experience</w:t>
            </w:r>
          </w:p>
        </w:tc>
        <w:tc>
          <w:tcPr>
            <w:tcW w:w="734" w:type="pct"/>
            <w:shd w:val="clear" w:color="auto" w:fill="auto"/>
          </w:tcPr>
          <w:p w:rsidR="000D517F" w:rsidRDefault="000D517F" w:rsidP="007A6BD4">
            <w:pPr>
              <w:pStyle w:val="ListParagraph"/>
              <w:ind w:left="0" w:hanging="48"/>
            </w:pPr>
            <w:r>
              <w:t>Increased confidence</w:t>
            </w:r>
          </w:p>
          <w:p w:rsidR="000D517F" w:rsidRDefault="000D517F" w:rsidP="007A6BD4">
            <w:pPr>
              <w:pStyle w:val="ListParagraph"/>
              <w:ind w:left="0" w:hanging="48"/>
            </w:pPr>
          </w:p>
          <w:p w:rsidR="000D517F" w:rsidRDefault="000D517F" w:rsidP="007A6BD4">
            <w:pPr>
              <w:pStyle w:val="ListParagraph"/>
              <w:ind w:left="0" w:hanging="48"/>
            </w:pPr>
            <w:r>
              <w:t xml:space="preserve">Improved knowledge </w:t>
            </w:r>
          </w:p>
          <w:p w:rsidR="000D517F" w:rsidRDefault="000D517F" w:rsidP="007A6BD4">
            <w:pPr>
              <w:pStyle w:val="ListParagraph"/>
              <w:ind w:left="0" w:hanging="48"/>
            </w:pPr>
          </w:p>
          <w:p w:rsidR="000D517F" w:rsidRPr="00A00951" w:rsidRDefault="000D517F" w:rsidP="0022341C">
            <w:pPr>
              <w:pStyle w:val="ListParagraph"/>
              <w:ind w:left="-31" w:firstLine="31"/>
            </w:pPr>
            <w:r>
              <w:t>Increased Opportunities</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5000</w:t>
            </w:r>
          </w:p>
        </w:tc>
      </w:tr>
      <w:tr w:rsidR="000D517F" w:rsidRPr="00F0399A" w:rsidTr="00480B82">
        <w:tc>
          <w:tcPr>
            <w:tcW w:w="2280" w:type="pct"/>
            <w:shd w:val="clear" w:color="auto" w:fill="auto"/>
          </w:tcPr>
          <w:p w:rsidR="000D517F" w:rsidRPr="00584737" w:rsidRDefault="000D517F" w:rsidP="0014701B">
            <w:pPr>
              <w:pStyle w:val="ListParagraph"/>
              <w:numPr>
                <w:ilvl w:val="0"/>
                <w:numId w:val="1"/>
              </w:numPr>
              <w:ind w:left="709" w:hanging="502"/>
              <w:rPr>
                <w:color w:val="0070C0"/>
              </w:rPr>
            </w:pPr>
            <w:r w:rsidRPr="00F0399A">
              <w:rPr>
                <w:b/>
                <w:color w:val="0070C0"/>
              </w:rPr>
              <w:t>Community Development -</w:t>
            </w:r>
            <w:r>
              <w:rPr>
                <w:color w:val="0070C0"/>
              </w:rPr>
              <w:t xml:space="preserve"> </w:t>
            </w:r>
            <w:r>
              <w:t>training and research skills, linked with Community Champions and Community Guardians</w:t>
            </w:r>
          </w:p>
          <w:p w:rsidR="000D517F" w:rsidRDefault="000D517F" w:rsidP="00584737">
            <w:pPr>
              <w:rPr>
                <w:color w:val="0070C0"/>
              </w:rPr>
            </w:pPr>
          </w:p>
          <w:p w:rsidR="000D517F" w:rsidRDefault="000D517F" w:rsidP="00584737">
            <w:pPr>
              <w:ind w:left="743"/>
            </w:pPr>
            <w:r>
              <w:t>The principles of Community Development include working wherever possible on the basis of evidence; striving for inclusion, celebrating diversity.</w:t>
            </w:r>
          </w:p>
          <w:p w:rsidR="000D517F" w:rsidRDefault="000D517F" w:rsidP="00584737">
            <w:pPr>
              <w:ind w:left="743"/>
            </w:pPr>
          </w:p>
          <w:p w:rsidR="000D517F" w:rsidRPr="00584737" w:rsidRDefault="000D517F" w:rsidP="00584737">
            <w:pPr>
              <w:ind w:left="743"/>
            </w:pPr>
            <w:r>
              <w:t xml:space="preserve">Specific skills include Research, Evaluation, Project Management and fund raising. </w:t>
            </w:r>
          </w:p>
        </w:tc>
        <w:tc>
          <w:tcPr>
            <w:tcW w:w="734" w:type="pct"/>
            <w:shd w:val="clear" w:color="auto" w:fill="auto"/>
          </w:tcPr>
          <w:p w:rsidR="000D517F" w:rsidRDefault="000D517F" w:rsidP="00C86506">
            <w:pPr>
              <w:pStyle w:val="ListParagraph"/>
              <w:ind w:left="0"/>
            </w:pPr>
            <w:r>
              <w:t>Training support and material</w:t>
            </w:r>
          </w:p>
          <w:p w:rsidR="000D517F" w:rsidRDefault="000D517F" w:rsidP="00C86506">
            <w:pPr>
              <w:pStyle w:val="ListParagraph"/>
              <w:ind w:left="0"/>
            </w:pPr>
          </w:p>
          <w:p w:rsidR="000D517F" w:rsidRPr="00A00951" w:rsidRDefault="000D517F" w:rsidP="00C86506">
            <w:pPr>
              <w:pStyle w:val="ListParagraph"/>
              <w:ind w:left="0"/>
            </w:pPr>
            <w:r>
              <w:t>Link to qualified CD practitioners and Local Trust support</w:t>
            </w:r>
          </w:p>
        </w:tc>
        <w:tc>
          <w:tcPr>
            <w:tcW w:w="734" w:type="pct"/>
            <w:shd w:val="clear" w:color="auto" w:fill="auto"/>
          </w:tcPr>
          <w:p w:rsidR="000D517F" w:rsidRDefault="000D517F" w:rsidP="007A6BD4">
            <w:pPr>
              <w:pStyle w:val="ListParagraph"/>
              <w:ind w:left="0"/>
            </w:pPr>
            <w:r>
              <w:t>10 x training sessions a year</w:t>
            </w:r>
          </w:p>
          <w:p w:rsidR="000D517F" w:rsidRDefault="000D517F" w:rsidP="007A6BD4">
            <w:pPr>
              <w:pStyle w:val="ListParagraph"/>
              <w:ind w:left="0"/>
            </w:pPr>
          </w:p>
          <w:p w:rsidR="000D517F" w:rsidRPr="00A00951" w:rsidRDefault="000D517F" w:rsidP="007A6BD4">
            <w:pPr>
              <w:pStyle w:val="ListParagraph"/>
              <w:ind w:left="0"/>
            </w:pPr>
            <w:r>
              <w:t>20 participants</w:t>
            </w:r>
          </w:p>
        </w:tc>
        <w:tc>
          <w:tcPr>
            <w:tcW w:w="734" w:type="pct"/>
            <w:shd w:val="clear" w:color="auto" w:fill="auto"/>
          </w:tcPr>
          <w:p w:rsidR="000D517F" w:rsidRDefault="000D517F" w:rsidP="007A6BD4">
            <w:pPr>
              <w:pStyle w:val="ListParagraph"/>
              <w:ind w:left="0"/>
            </w:pPr>
            <w:r>
              <w:t>4 people gain qualifications</w:t>
            </w:r>
          </w:p>
          <w:p w:rsidR="000D517F" w:rsidRDefault="000D517F" w:rsidP="007A6BD4">
            <w:pPr>
              <w:pStyle w:val="ListParagraph"/>
              <w:ind w:left="0"/>
            </w:pPr>
          </w:p>
          <w:p w:rsidR="000D517F" w:rsidRPr="00A00951" w:rsidRDefault="000D517F" w:rsidP="007A6BD4">
            <w:pPr>
              <w:pStyle w:val="ListParagraph"/>
              <w:ind w:left="0"/>
            </w:pPr>
            <w:r>
              <w:t>4 people progress to become actively involved in the community</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5000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DC4D2E">
              <w:rPr>
                <w:b/>
                <w:color w:val="0070C0"/>
              </w:rPr>
              <w:t>Environmental</w:t>
            </w:r>
            <w:r>
              <w:t xml:space="preserve"> - Air Pollution (Tunnel); Solar Energy etc....</w:t>
            </w:r>
          </w:p>
          <w:p w:rsidR="000D517F" w:rsidRDefault="000D517F" w:rsidP="00E626EA">
            <w:pPr>
              <w:pStyle w:val="ListParagraph"/>
              <w:ind w:left="709"/>
            </w:pPr>
          </w:p>
          <w:p w:rsidR="000D517F" w:rsidRPr="00E626EA" w:rsidRDefault="000D517F" w:rsidP="00E626EA">
            <w:pPr>
              <w:ind w:left="743"/>
            </w:pPr>
            <w:r>
              <w:t xml:space="preserve">A communications and Public relations campaign to raise awareness about environmental concerns in </w:t>
            </w:r>
            <w:r>
              <w:lastRenderedPageBreak/>
              <w:t>BLSW11 and to lobby for appropriate responses from Statutory authorities and corporate sector</w:t>
            </w:r>
          </w:p>
        </w:tc>
        <w:tc>
          <w:tcPr>
            <w:tcW w:w="734" w:type="pct"/>
            <w:shd w:val="clear" w:color="auto" w:fill="auto"/>
          </w:tcPr>
          <w:p w:rsidR="000D517F" w:rsidRPr="00A00951" w:rsidRDefault="000D517F" w:rsidP="00FD66DB">
            <w:pPr>
              <w:pStyle w:val="ListParagraph"/>
              <w:ind w:left="0"/>
            </w:pPr>
            <w:r>
              <w:lastRenderedPageBreak/>
              <w:t xml:space="preserve">Design and production of literature to promote awareness of the </w:t>
            </w:r>
            <w:r>
              <w:lastRenderedPageBreak/>
              <w:t>issues</w:t>
            </w:r>
          </w:p>
        </w:tc>
        <w:tc>
          <w:tcPr>
            <w:tcW w:w="734" w:type="pct"/>
            <w:shd w:val="clear" w:color="auto" w:fill="auto"/>
          </w:tcPr>
          <w:p w:rsidR="000D517F" w:rsidRDefault="000D517F" w:rsidP="007A6BD4">
            <w:pPr>
              <w:pStyle w:val="ListParagraph"/>
              <w:ind w:left="0"/>
            </w:pPr>
            <w:r>
              <w:lastRenderedPageBreak/>
              <w:t>Number of solar panels installed</w:t>
            </w:r>
          </w:p>
          <w:p w:rsidR="000D517F" w:rsidRDefault="000D517F" w:rsidP="007A6BD4">
            <w:pPr>
              <w:pStyle w:val="ListParagraph"/>
              <w:ind w:left="0"/>
            </w:pPr>
          </w:p>
          <w:p w:rsidR="000D517F" w:rsidRDefault="000D517F" w:rsidP="007A6BD4">
            <w:pPr>
              <w:pStyle w:val="ListParagraph"/>
              <w:ind w:left="0"/>
            </w:pPr>
            <w:r>
              <w:t xml:space="preserve">Increase in charging point for </w:t>
            </w:r>
            <w:r>
              <w:lastRenderedPageBreak/>
              <w:t>electric cars and scooters</w:t>
            </w:r>
          </w:p>
          <w:p w:rsidR="000D517F" w:rsidRDefault="000D517F" w:rsidP="007A6BD4">
            <w:pPr>
              <w:pStyle w:val="ListParagraph"/>
              <w:ind w:left="0"/>
            </w:pPr>
          </w:p>
          <w:p w:rsidR="000D517F" w:rsidRPr="00A00951" w:rsidRDefault="000D517F" w:rsidP="007A6BD4">
            <w:pPr>
              <w:pStyle w:val="ListParagraph"/>
              <w:ind w:left="0"/>
            </w:pPr>
          </w:p>
        </w:tc>
        <w:tc>
          <w:tcPr>
            <w:tcW w:w="734" w:type="pct"/>
            <w:shd w:val="clear" w:color="auto" w:fill="auto"/>
          </w:tcPr>
          <w:p w:rsidR="000D517F" w:rsidRPr="00A00951" w:rsidRDefault="000D517F" w:rsidP="007A6BD4">
            <w:pPr>
              <w:pStyle w:val="ListParagraph"/>
              <w:ind w:left="0"/>
            </w:pPr>
            <w:r>
              <w:lastRenderedPageBreak/>
              <w:t>Increase in action taken to reduce pollution and reduce carbon footprint</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2000</w:t>
            </w:r>
          </w:p>
        </w:tc>
      </w:tr>
      <w:tr w:rsidR="000D517F" w:rsidTr="00480B82">
        <w:tc>
          <w:tcPr>
            <w:tcW w:w="2280" w:type="pct"/>
            <w:shd w:val="clear" w:color="auto" w:fill="auto"/>
          </w:tcPr>
          <w:p w:rsidR="000D517F" w:rsidRDefault="000D517F" w:rsidP="0014701B">
            <w:pPr>
              <w:pStyle w:val="ListParagraph"/>
              <w:numPr>
                <w:ilvl w:val="0"/>
                <w:numId w:val="1"/>
              </w:numPr>
              <w:ind w:left="709" w:hanging="502"/>
            </w:pPr>
            <w:r w:rsidRPr="00DC4D2E">
              <w:rPr>
                <w:b/>
                <w:color w:val="0070C0"/>
              </w:rPr>
              <w:lastRenderedPageBreak/>
              <w:t>Community Assets</w:t>
            </w:r>
            <w:r>
              <w:t xml:space="preserve"> (e.g., Safe House) – to assess the availability of underused or vacant properties in the BLSW11 area with potential to be developed into a safe environment for those threatened with, homelessness or in need of a refuge. (Platform One, Empty Shops/Flats?)</w:t>
            </w:r>
          </w:p>
          <w:p w:rsidR="000D517F" w:rsidRDefault="000D517F" w:rsidP="00D65BB0"/>
          <w:p w:rsidR="000D517F" w:rsidRPr="00D65BB0" w:rsidRDefault="000D517F" w:rsidP="00D65BB0">
            <w:pPr>
              <w:ind w:left="743"/>
            </w:pPr>
            <w:r>
              <w:t>Develop options for a variety of community uses including the provision of a base for BLSW11 and the Alliance</w:t>
            </w:r>
          </w:p>
        </w:tc>
        <w:tc>
          <w:tcPr>
            <w:tcW w:w="734" w:type="pct"/>
            <w:shd w:val="clear" w:color="auto" w:fill="auto"/>
          </w:tcPr>
          <w:p w:rsidR="000D517F" w:rsidRDefault="000D517F" w:rsidP="00C86506">
            <w:pPr>
              <w:pStyle w:val="ListParagraph"/>
              <w:ind w:left="0"/>
            </w:pPr>
            <w:r>
              <w:t>Work with JV to identify potential community assets</w:t>
            </w:r>
          </w:p>
          <w:p w:rsidR="000D517F" w:rsidRDefault="000D517F" w:rsidP="00C86506">
            <w:pPr>
              <w:pStyle w:val="ListParagraph"/>
              <w:ind w:left="0"/>
            </w:pPr>
          </w:p>
          <w:p w:rsidR="000D517F" w:rsidRDefault="000D517F" w:rsidP="00C86506">
            <w:pPr>
              <w:pStyle w:val="ListParagraph"/>
              <w:ind w:left="0"/>
            </w:pPr>
            <w:r>
              <w:t>Scope costs of acquiring use</w:t>
            </w:r>
          </w:p>
          <w:p w:rsidR="000D517F" w:rsidRDefault="000D517F" w:rsidP="00C86506">
            <w:pPr>
              <w:pStyle w:val="ListParagraph"/>
              <w:ind w:left="0"/>
            </w:pPr>
          </w:p>
          <w:p w:rsidR="000D517F" w:rsidRPr="00A00951" w:rsidRDefault="000D517F" w:rsidP="00C86506">
            <w:pPr>
              <w:pStyle w:val="ListParagraph"/>
              <w:ind w:left="0"/>
            </w:pPr>
          </w:p>
        </w:tc>
        <w:tc>
          <w:tcPr>
            <w:tcW w:w="734" w:type="pct"/>
            <w:shd w:val="clear" w:color="auto" w:fill="auto"/>
          </w:tcPr>
          <w:p w:rsidR="000D517F" w:rsidRDefault="000D517F" w:rsidP="007A6BD4">
            <w:pPr>
              <w:pStyle w:val="ListParagraph"/>
              <w:ind w:left="0"/>
            </w:pPr>
          </w:p>
          <w:p w:rsidR="000D517F" w:rsidRDefault="000D517F" w:rsidP="007A6BD4">
            <w:pPr>
              <w:pStyle w:val="ListParagraph"/>
              <w:ind w:left="0"/>
            </w:pPr>
            <w:r>
              <w:t>1 x Building developed for community use</w:t>
            </w:r>
          </w:p>
          <w:p w:rsidR="000D517F" w:rsidRDefault="000D517F" w:rsidP="007A6BD4">
            <w:pPr>
              <w:pStyle w:val="ListParagraph"/>
              <w:ind w:left="0"/>
            </w:pPr>
          </w:p>
          <w:p w:rsidR="000D517F" w:rsidRDefault="000D517F" w:rsidP="007A6BD4">
            <w:pPr>
              <w:pStyle w:val="ListParagraph"/>
              <w:ind w:left="0"/>
            </w:pPr>
            <w:r>
              <w:t>12 people a year assess the service</w:t>
            </w:r>
          </w:p>
          <w:p w:rsidR="000D517F" w:rsidRDefault="000D517F" w:rsidP="007A6BD4">
            <w:pPr>
              <w:pStyle w:val="ListParagraph"/>
              <w:ind w:left="0"/>
            </w:pPr>
          </w:p>
          <w:p w:rsidR="000D517F" w:rsidRPr="00A00951" w:rsidRDefault="000D517F" w:rsidP="007A6BD4">
            <w:pPr>
              <w:pStyle w:val="ListParagraph"/>
              <w:ind w:left="0"/>
            </w:pPr>
            <w:r>
              <w:t>Three organisations share the premises</w:t>
            </w:r>
          </w:p>
        </w:tc>
        <w:tc>
          <w:tcPr>
            <w:tcW w:w="734" w:type="pct"/>
            <w:shd w:val="clear" w:color="auto" w:fill="auto"/>
          </w:tcPr>
          <w:p w:rsidR="000D517F" w:rsidRDefault="000D517F" w:rsidP="007A6BD4">
            <w:pPr>
              <w:pStyle w:val="ListParagraph"/>
              <w:ind w:left="0"/>
            </w:pPr>
            <w:r>
              <w:t>Increase in people feeling that they are listened to</w:t>
            </w:r>
          </w:p>
          <w:p w:rsidR="000D517F" w:rsidRDefault="000D517F" w:rsidP="007A6BD4">
            <w:pPr>
              <w:pStyle w:val="ListParagraph"/>
              <w:ind w:left="0"/>
            </w:pPr>
          </w:p>
          <w:p w:rsidR="000D517F" w:rsidRDefault="000D517F" w:rsidP="007A6BD4">
            <w:pPr>
              <w:pStyle w:val="ListParagraph"/>
              <w:ind w:left="0"/>
            </w:pPr>
            <w:r>
              <w:t>More people feel safer in their community</w:t>
            </w:r>
          </w:p>
          <w:p w:rsidR="000D517F" w:rsidRDefault="000D517F" w:rsidP="007A6BD4">
            <w:pPr>
              <w:pStyle w:val="ListParagraph"/>
              <w:ind w:left="0"/>
            </w:pPr>
          </w:p>
          <w:p w:rsidR="000D517F" w:rsidRPr="00A00951" w:rsidRDefault="000D517F" w:rsidP="007A6BD4">
            <w:pPr>
              <w:pStyle w:val="ListParagraph"/>
              <w:ind w:left="0"/>
            </w:pPr>
            <w:r>
              <w:t>Reduction in people needing medical interventions</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t>40000</w:t>
            </w:r>
          </w:p>
        </w:tc>
      </w:tr>
      <w:tr w:rsidR="000D517F" w:rsidRPr="001A66E2" w:rsidTr="00480B82">
        <w:tc>
          <w:tcPr>
            <w:tcW w:w="2280" w:type="pct"/>
            <w:shd w:val="clear" w:color="auto" w:fill="auto"/>
          </w:tcPr>
          <w:p w:rsidR="000D517F" w:rsidRPr="001A66E2" w:rsidRDefault="000D517F" w:rsidP="0014701B">
            <w:pPr>
              <w:pStyle w:val="ListParagraph"/>
              <w:numPr>
                <w:ilvl w:val="0"/>
                <w:numId w:val="1"/>
              </w:numPr>
              <w:ind w:left="709" w:hanging="502"/>
            </w:pPr>
            <w:r w:rsidRPr="00480B82">
              <w:rPr>
                <w:b/>
                <w:color w:val="0070C0"/>
              </w:rPr>
              <w:t>Community Infrastructure Support</w:t>
            </w:r>
            <w:r>
              <w:t xml:space="preserve"> - provision of advice, guidance and support for local groups and organisations on governance, finance and fund raising</w:t>
            </w:r>
          </w:p>
        </w:tc>
        <w:tc>
          <w:tcPr>
            <w:tcW w:w="734" w:type="pct"/>
            <w:shd w:val="clear" w:color="auto" w:fill="auto"/>
          </w:tcPr>
          <w:p w:rsidR="000D517F" w:rsidRPr="001A66E2" w:rsidRDefault="000D517F" w:rsidP="00C86506">
            <w:pPr>
              <w:pStyle w:val="ListParagraph"/>
              <w:ind w:left="0"/>
            </w:pPr>
            <w:r>
              <w:t>Identify local delivery partners</w:t>
            </w:r>
          </w:p>
        </w:tc>
        <w:tc>
          <w:tcPr>
            <w:tcW w:w="734" w:type="pct"/>
            <w:shd w:val="clear" w:color="auto" w:fill="auto"/>
          </w:tcPr>
          <w:p w:rsidR="000D517F" w:rsidRDefault="000D517F" w:rsidP="007A6BD4">
            <w:pPr>
              <w:pStyle w:val="ListParagraph"/>
              <w:ind w:left="0"/>
            </w:pPr>
            <w:r>
              <w:t>20 X Groups are supported</w:t>
            </w:r>
          </w:p>
          <w:p w:rsidR="000D517F" w:rsidRDefault="000D517F" w:rsidP="007A6BD4">
            <w:pPr>
              <w:pStyle w:val="ListParagraph"/>
              <w:ind w:left="0"/>
            </w:pPr>
          </w:p>
          <w:p w:rsidR="000D517F" w:rsidRDefault="000D517F" w:rsidP="007A6BD4">
            <w:pPr>
              <w:pStyle w:val="ListParagraph"/>
              <w:ind w:left="0"/>
            </w:pPr>
            <w:r>
              <w:t>2 X funding applications submitted</w:t>
            </w:r>
          </w:p>
          <w:p w:rsidR="000D517F" w:rsidRDefault="000D517F" w:rsidP="007A6BD4">
            <w:pPr>
              <w:pStyle w:val="ListParagraph"/>
              <w:ind w:left="0"/>
            </w:pPr>
          </w:p>
          <w:p w:rsidR="000D517F" w:rsidRPr="001A66E2" w:rsidRDefault="000D517F" w:rsidP="007A6BD4">
            <w:pPr>
              <w:pStyle w:val="ListParagraph"/>
              <w:ind w:left="0"/>
            </w:pPr>
            <w:r>
              <w:t>2 X events a year</w:t>
            </w:r>
          </w:p>
        </w:tc>
        <w:tc>
          <w:tcPr>
            <w:tcW w:w="734" w:type="pct"/>
            <w:shd w:val="clear" w:color="auto" w:fill="auto"/>
          </w:tcPr>
          <w:p w:rsidR="000D517F" w:rsidRDefault="000D517F" w:rsidP="007A6BD4">
            <w:pPr>
              <w:pStyle w:val="ListParagraph"/>
              <w:ind w:left="0"/>
            </w:pPr>
            <w:r>
              <w:t>Building resilience</w:t>
            </w:r>
          </w:p>
          <w:p w:rsidR="000D517F" w:rsidRDefault="000D517F" w:rsidP="007A6BD4">
            <w:pPr>
              <w:pStyle w:val="ListParagraph"/>
              <w:ind w:left="0"/>
            </w:pPr>
          </w:p>
          <w:p w:rsidR="000D517F" w:rsidRDefault="000D517F" w:rsidP="007A6BD4">
            <w:pPr>
              <w:pStyle w:val="ListParagraph"/>
              <w:ind w:left="0"/>
            </w:pPr>
            <w:r>
              <w:t>Increasing capacity</w:t>
            </w:r>
          </w:p>
          <w:p w:rsidR="000D517F" w:rsidRDefault="000D517F" w:rsidP="007A6BD4">
            <w:pPr>
              <w:pStyle w:val="ListParagraph"/>
              <w:ind w:left="0"/>
            </w:pPr>
          </w:p>
          <w:p w:rsidR="000D517F" w:rsidRPr="001A66E2" w:rsidRDefault="000D517F" w:rsidP="007A6BD4">
            <w:pPr>
              <w:pStyle w:val="ListParagraph"/>
              <w:ind w:left="0"/>
            </w:pPr>
            <w:r>
              <w:t>Sustainability</w:t>
            </w:r>
          </w:p>
        </w:tc>
        <w:tc>
          <w:tcPr>
            <w:tcW w:w="518" w:type="pct"/>
            <w:shd w:val="clear" w:color="auto" w:fill="auto"/>
          </w:tcPr>
          <w:p w:rsidR="000D517F" w:rsidRPr="001A66E2" w:rsidRDefault="000D517F" w:rsidP="00981C3C">
            <w:pPr>
              <w:pStyle w:val="ListParagraph"/>
              <w:ind w:left="709" w:hanging="284"/>
              <w:jc w:val="right"/>
              <w:rPr>
                <w:sz w:val="20"/>
                <w:szCs w:val="20"/>
              </w:rPr>
            </w:pPr>
            <w:r>
              <w:rPr>
                <w:sz w:val="20"/>
                <w:szCs w:val="20"/>
              </w:rPr>
              <w:t>5000</w:t>
            </w:r>
          </w:p>
        </w:tc>
      </w:tr>
      <w:tr w:rsidR="000D517F" w:rsidTr="00480B82">
        <w:tc>
          <w:tcPr>
            <w:tcW w:w="2280" w:type="pct"/>
            <w:shd w:val="clear" w:color="auto" w:fill="auto"/>
          </w:tcPr>
          <w:p w:rsidR="000D517F" w:rsidRPr="009A40BD" w:rsidRDefault="000D517F" w:rsidP="0014701B">
            <w:pPr>
              <w:pStyle w:val="ListParagraph"/>
              <w:ind w:left="709"/>
              <w:jc w:val="right"/>
              <w:rPr>
                <w:b/>
                <w:color w:val="0070C0"/>
              </w:rPr>
            </w:pPr>
            <w:r>
              <w:rPr>
                <w:b/>
                <w:color w:val="0070C0"/>
              </w:rPr>
              <w:t>Totals</w:t>
            </w:r>
          </w:p>
        </w:tc>
        <w:tc>
          <w:tcPr>
            <w:tcW w:w="734" w:type="pct"/>
            <w:shd w:val="clear" w:color="auto" w:fill="auto"/>
          </w:tcPr>
          <w:p w:rsidR="000D517F" w:rsidRDefault="000D517F" w:rsidP="00C86506">
            <w:pPr>
              <w:pStyle w:val="ListParagraph"/>
              <w:ind w:left="0"/>
            </w:pPr>
            <w:r>
              <w:t xml:space="preserve">74 volunteers </w:t>
            </w:r>
          </w:p>
          <w:p w:rsidR="000D517F" w:rsidRDefault="000D517F" w:rsidP="00C86506">
            <w:pPr>
              <w:pStyle w:val="ListParagraph"/>
              <w:ind w:left="0"/>
            </w:pPr>
          </w:p>
          <w:p w:rsidR="000D517F" w:rsidRDefault="009351AC" w:rsidP="00C86506">
            <w:pPr>
              <w:pStyle w:val="ListParagraph"/>
              <w:ind w:left="0"/>
            </w:pPr>
            <w:r>
              <w:t>£322</w:t>
            </w:r>
            <w:r w:rsidR="000D517F">
              <w:t>k</w:t>
            </w:r>
          </w:p>
          <w:p w:rsidR="000D517F" w:rsidRDefault="000D517F" w:rsidP="00C86506">
            <w:pPr>
              <w:pStyle w:val="ListParagraph"/>
              <w:ind w:left="0"/>
            </w:pPr>
          </w:p>
          <w:p w:rsidR="000D517F" w:rsidRPr="00A00951" w:rsidRDefault="000D517F" w:rsidP="00C86506">
            <w:pPr>
              <w:pStyle w:val="ListParagraph"/>
              <w:ind w:left="0"/>
            </w:pPr>
            <w:r>
              <w:t xml:space="preserve">12 Organisations involved </w:t>
            </w:r>
          </w:p>
        </w:tc>
        <w:tc>
          <w:tcPr>
            <w:tcW w:w="734" w:type="pct"/>
            <w:shd w:val="clear" w:color="auto" w:fill="auto"/>
          </w:tcPr>
          <w:p w:rsidR="000D517F" w:rsidRDefault="000D517F" w:rsidP="007A6BD4">
            <w:pPr>
              <w:pStyle w:val="ListParagraph"/>
              <w:ind w:left="0"/>
            </w:pPr>
            <w:r>
              <w:t>800 people benefit</w:t>
            </w:r>
          </w:p>
          <w:p w:rsidR="000D517F" w:rsidRDefault="000D517F" w:rsidP="007A6BD4">
            <w:pPr>
              <w:pStyle w:val="ListParagraph"/>
              <w:ind w:left="0"/>
            </w:pPr>
          </w:p>
          <w:p w:rsidR="000D517F" w:rsidRPr="00A00951" w:rsidRDefault="000D517F" w:rsidP="007A6BD4">
            <w:pPr>
              <w:pStyle w:val="ListParagraph"/>
              <w:ind w:left="0"/>
            </w:pPr>
            <w:r>
              <w:t>50 people gain new skills</w:t>
            </w:r>
          </w:p>
        </w:tc>
        <w:tc>
          <w:tcPr>
            <w:tcW w:w="734" w:type="pct"/>
            <w:shd w:val="clear" w:color="auto" w:fill="auto"/>
          </w:tcPr>
          <w:p w:rsidR="000D517F" w:rsidRPr="00A00951" w:rsidRDefault="000D517F" w:rsidP="004239C3">
            <w:pPr>
              <w:pStyle w:val="ListParagraph"/>
              <w:ind w:left="0"/>
            </w:pPr>
            <w:r>
              <w:t>Substantial increase in sense of community and Belonging</w:t>
            </w:r>
          </w:p>
        </w:tc>
        <w:tc>
          <w:tcPr>
            <w:tcW w:w="518" w:type="pct"/>
            <w:shd w:val="clear" w:color="auto" w:fill="auto"/>
          </w:tcPr>
          <w:p w:rsidR="000D517F" w:rsidRPr="00981C3C" w:rsidRDefault="000D517F" w:rsidP="00981C3C">
            <w:pPr>
              <w:pStyle w:val="ListParagraph"/>
              <w:ind w:left="709" w:hanging="284"/>
              <w:jc w:val="right"/>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322000</w:t>
            </w:r>
            <w:r>
              <w:rPr>
                <w:sz w:val="20"/>
                <w:szCs w:val="20"/>
              </w:rPr>
              <w:fldChar w:fldCharType="end"/>
            </w:r>
          </w:p>
        </w:tc>
      </w:tr>
    </w:tbl>
    <w:p w:rsidR="00075069" w:rsidRPr="00075069" w:rsidRDefault="00075069" w:rsidP="0014701B">
      <w:pPr>
        <w:pStyle w:val="ListParagraph"/>
        <w:ind w:left="709" w:hanging="284"/>
        <w:rPr>
          <w:b/>
          <w:color w:val="548DD4" w:themeColor="text2" w:themeTint="99"/>
        </w:rPr>
      </w:pPr>
    </w:p>
    <w:p w:rsidR="00310DAB" w:rsidRDefault="00135A12" w:rsidP="00526832">
      <w:pPr>
        <w:ind w:left="-142"/>
        <w:sectPr w:rsidR="00310DAB" w:rsidSect="004E08AE">
          <w:pgSz w:w="16838" w:h="11906" w:orient="landscape"/>
          <w:pgMar w:top="1440" w:right="962" w:bottom="1276" w:left="1440" w:header="708" w:footer="708" w:gutter="0"/>
          <w:cols w:space="708"/>
          <w:docGrid w:linePitch="360"/>
        </w:sectPr>
      </w:pPr>
      <w:r>
        <w:t>September</w:t>
      </w:r>
      <w:r w:rsidR="00526832">
        <w:t xml:space="preserve"> 2020</w:t>
      </w:r>
    </w:p>
    <w:p w:rsidR="00176B75" w:rsidRDefault="00176B75" w:rsidP="00526832">
      <w:pPr>
        <w:ind w:left="-142"/>
      </w:pPr>
    </w:p>
    <w:p w:rsidR="00A25B01" w:rsidRDefault="00A25B01" w:rsidP="00A25B01">
      <w:pPr>
        <w:ind w:left="0"/>
      </w:pPr>
    </w:p>
    <w:p w:rsidR="00FC52F5" w:rsidRDefault="00FC52F5" w:rsidP="00A25B01">
      <w:pPr>
        <w:ind w:left="0"/>
        <w:rPr>
          <w:b/>
          <w:color w:val="0070C0"/>
        </w:rPr>
      </w:pPr>
      <w:r>
        <w:rPr>
          <w:b/>
          <w:color w:val="0070C0"/>
        </w:rPr>
        <w:t>Appendix</w:t>
      </w:r>
      <w:r w:rsidR="00B458BA">
        <w:rPr>
          <w:b/>
          <w:color w:val="0070C0"/>
        </w:rPr>
        <w:t xml:space="preserve"> 1</w:t>
      </w:r>
      <w:r>
        <w:rPr>
          <w:b/>
          <w:color w:val="0070C0"/>
        </w:rPr>
        <w:t>: Community and Belonging Evidence Base</w:t>
      </w:r>
    </w:p>
    <w:p w:rsidR="00FC52F5" w:rsidRDefault="00FC52F5" w:rsidP="00A25B01">
      <w:pPr>
        <w:ind w:left="0"/>
        <w:rPr>
          <w:b/>
          <w:color w:val="0070C0"/>
        </w:rPr>
      </w:pPr>
    </w:p>
    <w:p w:rsidR="00A25B01" w:rsidRPr="008751AC" w:rsidRDefault="00FC52F5" w:rsidP="00A25B01">
      <w:pPr>
        <w:ind w:left="0"/>
        <w:rPr>
          <w:b/>
          <w:color w:val="0070C0"/>
        </w:rPr>
      </w:pPr>
      <w:r>
        <w:rPr>
          <w:b/>
          <w:color w:val="0070C0"/>
        </w:rPr>
        <w:t xml:space="preserve">BLSW11 </w:t>
      </w:r>
      <w:r w:rsidR="00A25B01" w:rsidRPr="008751AC">
        <w:rPr>
          <w:b/>
          <w:color w:val="0070C0"/>
        </w:rPr>
        <w:t>Local Insight January 2019</w:t>
      </w:r>
    </w:p>
    <w:p w:rsidR="00A25B01" w:rsidRDefault="00A25B01" w:rsidP="00A25B01">
      <w:pPr>
        <w:ind w:left="0"/>
      </w:pPr>
    </w:p>
    <w:p w:rsidR="00A25B01" w:rsidRDefault="00A25B01" w:rsidP="00A25B01">
      <w:pPr>
        <w:ind w:left="0"/>
      </w:pPr>
      <w:r>
        <w:t>Population 17,355 (Risen 26% between 2001-2017)</w:t>
      </w:r>
    </w:p>
    <w:p w:rsidR="00A25B01" w:rsidRDefault="00A25B01" w:rsidP="00A25B01">
      <w:pPr>
        <w:ind w:left="0"/>
      </w:pPr>
    </w:p>
    <w:p w:rsidR="00A25B01" w:rsidRDefault="00A25B01" w:rsidP="00A25B01">
      <w:pPr>
        <w:ind w:left="0"/>
      </w:pPr>
      <w:r>
        <w:t>Children Living in Poverty = 28% (London = 19%)</w:t>
      </w:r>
    </w:p>
    <w:p w:rsidR="00A25B01" w:rsidRDefault="00A25B01" w:rsidP="00A25B01">
      <w:pPr>
        <w:ind w:left="0"/>
      </w:pPr>
    </w:p>
    <w:p w:rsidR="00A25B01" w:rsidRDefault="00CB086E" w:rsidP="00A25B01">
      <w:pPr>
        <w:ind w:left="0"/>
      </w:pPr>
      <w:r>
        <w:rPr>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971550</wp:posOffset>
            </wp:positionV>
            <wp:extent cx="3953510" cy="1590675"/>
            <wp:effectExtent l="1905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953510" cy="1590675"/>
                    </a:xfrm>
                    <a:prstGeom prst="rect">
                      <a:avLst/>
                    </a:prstGeom>
                    <a:noFill/>
                  </pic:spPr>
                </pic:pic>
              </a:graphicData>
            </a:graphic>
          </wp:anchor>
        </w:drawing>
      </w:r>
      <w:r w:rsidR="00A25B01">
        <w:t>Lone Parent Families = 43.5% (London = 27.6%)</w:t>
      </w:r>
    </w:p>
    <w:p w:rsidR="00CB086E" w:rsidRDefault="00CB086E" w:rsidP="00A25B01">
      <w:pPr>
        <w:ind w:left="0"/>
      </w:pPr>
    </w:p>
    <w:p w:rsidR="00CB086E" w:rsidRPr="008751AC" w:rsidRDefault="00CB086E" w:rsidP="00A25B01">
      <w:pPr>
        <w:ind w:left="0"/>
        <w:rPr>
          <w:b/>
          <w:color w:val="548DD4" w:themeColor="text2" w:themeTint="99"/>
        </w:rPr>
      </w:pPr>
      <w:r w:rsidRPr="008751AC">
        <w:rPr>
          <w:b/>
          <w:color w:val="548DD4" w:themeColor="text2" w:themeTint="99"/>
        </w:rPr>
        <w:t>Workless Benefit Claimants Aged 16-24 and 16-64</w:t>
      </w:r>
    </w:p>
    <w:p w:rsidR="00CB086E" w:rsidRDefault="00CB086E" w:rsidP="00A25B01">
      <w:pPr>
        <w:ind w:left="0"/>
      </w:pPr>
    </w:p>
    <w:p w:rsidR="00310DAB" w:rsidRDefault="00310DAB" w:rsidP="00A25B01">
      <w:pPr>
        <w:ind w:left="0"/>
        <w:rPr>
          <w:b/>
          <w:color w:val="548DD4" w:themeColor="text2" w:themeTint="99"/>
        </w:rPr>
      </w:pPr>
    </w:p>
    <w:p w:rsidR="00CB086E" w:rsidRPr="008751AC" w:rsidRDefault="00CB086E" w:rsidP="00A25B01">
      <w:pPr>
        <w:ind w:left="0"/>
        <w:rPr>
          <w:b/>
          <w:color w:val="548DD4" w:themeColor="text2" w:themeTint="99"/>
        </w:rPr>
      </w:pPr>
      <w:r w:rsidRPr="008751AC">
        <w:rPr>
          <w:b/>
          <w:color w:val="548DD4" w:themeColor="text2" w:themeTint="99"/>
        </w:rPr>
        <w:t>Working People Receiving Personal Independence Payments (PIP)</w:t>
      </w:r>
    </w:p>
    <w:p w:rsidR="00CB086E" w:rsidRDefault="00CB086E" w:rsidP="00A25B01">
      <w:pPr>
        <w:ind w:left="0"/>
      </w:pPr>
    </w:p>
    <w:p w:rsidR="00CB086E" w:rsidRDefault="00CB086E" w:rsidP="00A25B01">
      <w:pPr>
        <w:ind w:left="0"/>
      </w:pPr>
      <w:r>
        <w:rPr>
          <w:noProof/>
          <w:lang w:eastAsia="en-GB"/>
        </w:rPr>
        <w:drawing>
          <wp:anchor distT="0" distB="0" distL="114300" distR="114300" simplePos="0" relativeHeight="251659264" behindDoc="1" locked="0" layoutInCell="1" allowOverlap="1">
            <wp:simplePos x="0" y="0"/>
            <wp:positionH relativeFrom="column">
              <wp:posOffset>-57150</wp:posOffset>
            </wp:positionH>
            <wp:positionV relativeFrom="paragraph">
              <wp:posOffset>-150495</wp:posOffset>
            </wp:positionV>
            <wp:extent cx="4171950" cy="2143125"/>
            <wp:effectExtent l="19050" t="0" r="0" b="0"/>
            <wp:wrapTight wrapText="bothSides">
              <wp:wrapPolygon edited="0">
                <wp:start x="-99" y="0"/>
                <wp:lineTo x="-99" y="21504"/>
                <wp:lineTo x="21600" y="21504"/>
                <wp:lineTo x="21600" y="0"/>
                <wp:lineTo x="-99"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171950" cy="2143125"/>
                    </a:xfrm>
                    <a:prstGeom prst="rect">
                      <a:avLst/>
                    </a:prstGeom>
                    <a:noFill/>
                  </pic:spPr>
                </pic:pic>
              </a:graphicData>
            </a:graphic>
          </wp:anchor>
        </w:drawing>
      </w:r>
    </w:p>
    <w:p w:rsidR="00CB086E" w:rsidRDefault="00CB086E" w:rsidP="00A25B01">
      <w:pPr>
        <w:ind w:left="0"/>
      </w:pPr>
    </w:p>
    <w:p w:rsidR="00CB086E" w:rsidRDefault="00CB086E" w:rsidP="00A25B01">
      <w:pPr>
        <w:ind w:left="0"/>
      </w:pPr>
    </w:p>
    <w:p w:rsidR="00CB086E" w:rsidRDefault="00CB086E" w:rsidP="00A25B01">
      <w:pPr>
        <w:ind w:left="0"/>
      </w:pPr>
    </w:p>
    <w:p w:rsidR="00CB086E" w:rsidRDefault="00CB086E" w:rsidP="00A25B01">
      <w:pPr>
        <w:ind w:left="0"/>
      </w:pPr>
    </w:p>
    <w:p w:rsidR="00CB086E" w:rsidRDefault="00CB086E" w:rsidP="00A25B01">
      <w:pPr>
        <w:ind w:left="0"/>
      </w:pPr>
    </w:p>
    <w:p w:rsidR="00CB086E" w:rsidRDefault="00CB086E" w:rsidP="00A25B01">
      <w:pPr>
        <w:ind w:left="0"/>
      </w:pPr>
    </w:p>
    <w:p w:rsidR="00CB086E" w:rsidRDefault="00CB086E" w:rsidP="00A25B01">
      <w:pPr>
        <w:ind w:left="0"/>
      </w:pPr>
    </w:p>
    <w:p w:rsidR="00CB086E" w:rsidRDefault="00CB086E" w:rsidP="00A25B01">
      <w:pPr>
        <w:ind w:left="0"/>
      </w:pPr>
    </w:p>
    <w:p w:rsidR="00310DAB" w:rsidRDefault="00310DAB" w:rsidP="00A25B01">
      <w:pPr>
        <w:ind w:left="0"/>
        <w:rPr>
          <w:b/>
          <w:color w:val="548DD4" w:themeColor="text2" w:themeTint="99"/>
        </w:rPr>
      </w:pPr>
    </w:p>
    <w:p w:rsidR="00CB086E" w:rsidRPr="008751AC" w:rsidRDefault="00CB086E" w:rsidP="00A25B01">
      <w:pPr>
        <w:ind w:left="0"/>
        <w:rPr>
          <w:b/>
          <w:color w:val="548DD4" w:themeColor="text2" w:themeTint="99"/>
        </w:rPr>
      </w:pPr>
      <w:r w:rsidRPr="008751AC">
        <w:rPr>
          <w:b/>
          <w:color w:val="548DD4" w:themeColor="text2" w:themeTint="99"/>
        </w:rPr>
        <w:lastRenderedPageBreak/>
        <w:t>Deprived Neighbourhoods</w:t>
      </w:r>
    </w:p>
    <w:p w:rsidR="00CB086E" w:rsidRDefault="00CB086E" w:rsidP="00A25B01">
      <w:pPr>
        <w:ind w:left="0"/>
      </w:pPr>
    </w:p>
    <w:tbl>
      <w:tblPr>
        <w:tblW w:w="7707" w:type="dxa"/>
        <w:jc w:val="center"/>
        <w:tblInd w:w="13" w:type="dxa"/>
        <w:tblLayout w:type="fixed"/>
        <w:tblLook w:val="04A0"/>
      </w:tblPr>
      <w:tblGrid>
        <w:gridCol w:w="1819"/>
        <w:gridCol w:w="236"/>
        <w:gridCol w:w="1734"/>
        <w:gridCol w:w="236"/>
        <w:gridCol w:w="1798"/>
        <w:gridCol w:w="236"/>
        <w:gridCol w:w="1648"/>
      </w:tblGrid>
      <w:tr w:rsidR="00CB086E" w:rsidRPr="005B195C" w:rsidTr="00D65BB0">
        <w:trPr>
          <w:trHeight w:val="126"/>
          <w:jc w:val="center"/>
        </w:trPr>
        <w:tc>
          <w:tcPr>
            <w:tcW w:w="7707" w:type="dxa"/>
            <w:gridSpan w:val="7"/>
            <w:tcBorders>
              <w:top w:val="single" w:sz="4" w:space="0" w:color="002DB2"/>
              <w:left w:val="single" w:sz="4" w:space="0" w:color="002DB2"/>
              <w:bottom w:val="single" w:sz="4" w:space="0" w:color="002DB2"/>
              <w:right w:val="single" w:sz="4" w:space="0" w:color="002DB2"/>
            </w:tcBorders>
            <w:shd w:val="clear" w:color="auto" w:fill="FFFFFF"/>
          </w:tcPr>
          <w:p w:rsidR="00CB086E" w:rsidRPr="005B195C" w:rsidRDefault="00CB086E" w:rsidP="00D65BB0">
            <w:pPr>
              <w:pStyle w:val="ocsinumberingparagraphs"/>
              <w:spacing w:before="0" w:after="0" w:line="200" w:lineRule="exact"/>
              <w:jc w:val="center"/>
              <w:rPr>
                <w:color w:val="002DB2"/>
              </w:rPr>
            </w:pPr>
            <w:r w:rsidRPr="004E49D5">
              <w:rPr>
                <w:color w:val="002DB2"/>
                <w:sz w:val="16"/>
              </w:rPr>
              <w:t>Number of people</w:t>
            </w:r>
            <w:r>
              <w:rPr>
                <w:color w:val="002DB2"/>
                <w:sz w:val="16"/>
              </w:rPr>
              <w:t xml:space="preserve"> in </w:t>
            </w:r>
            <w:fldSimple w:instr=" DOCPROPERTY  prp_area_name  \* MERGEFORMAT ">
              <w:r w:rsidRPr="00084D17">
                <w:rPr>
                  <w:bCs/>
                  <w:color w:val="002DB2"/>
                  <w:sz w:val="16"/>
                  <w:szCs w:val="16"/>
                </w:rPr>
                <w:t>Clapham</w:t>
              </w:r>
              <w:r w:rsidRPr="00084D17">
                <w:rPr>
                  <w:color w:val="002DB2"/>
                  <w:sz w:val="16"/>
                  <w:szCs w:val="16"/>
                </w:rPr>
                <w:t xml:space="preserve"> Junction, West Battersea, (Big Local SW11)</w:t>
              </w:r>
            </w:fldSimple>
            <w:r>
              <w:rPr>
                <w:sz w:val="16"/>
                <w:szCs w:val="16"/>
              </w:rPr>
              <w:t xml:space="preserve"> </w:t>
            </w:r>
            <w:r w:rsidRPr="004E49D5">
              <w:rPr>
                <w:color w:val="002DB2"/>
                <w:sz w:val="16"/>
              </w:rPr>
              <w:t xml:space="preserve">living in the most deprived 20% of areas </w:t>
            </w:r>
            <w:r>
              <w:rPr>
                <w:color w:val="002DB2"/>
                <w:sz w:val="16"/>
              </w:rPr>
              <w:t xml:space="preserve">of England </w:t>
            </w:r>
            <w:r w:rsidRPr="004E49D5">
              <w:rPr>
                <w:color w:val="002DB2"/>
                <w:sz w:val="16"/>
              </w:rPr>
              <w:t xml:space="preserve">by </w:t>
            </w:r>
            <w:r>
              <w:rPr>
                <w:color w:val="002DB2"/>
                <w:sz w:val="16"/>
              </w:rPr>
              <w:t>Indices of Deprivation (ID) 2015 domain</w:t>
            </w:r>
          </w:p>
        </w:tc>
      </w:tr>
      <w:tr w:rsidR="00CB086E" w:rsidRPr="005B195C" w:rsidTr="00D65BB0">
        <w:trPr>
          <w:trHeight w:val="294"/>
          <w:jc w:val="center"/>
        </w:trPr>
        <w:tc>
          <w:tcPr>
            <w:tcW w:w="1819"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5B195C" w:rsidRDefault="00CB086E" w:rsidP="00D65BB0">
            <w:pPr>
              <w:pStyle w:val="ocsinumberingparagraphs"/>
              <w:spacing w:before="0" w:after="0" w:line="200" w:lineRule="exact"/>
              <w:jc w:val="center"/>
              <w:rPr>
                <w:color w:val="002DB2"/>
                <w:sz w:val="16"/>
                <w:szCs w:val="16"/>
              </w:rPr>
            </w:pPr>
            <w:r>
              <w:rPr>
                <w:color w:val="002DB2"/>
                <w:sz w:val="16"/>
                <w:szCs w:val="16"/>
              </w:rPr>
              <w:t>Index of Multiple Deprivation</w:t>
            </w:r>
          </w:p>
        </w:tc>
        <w:tc>
          <w:tcPr>
            <w:tcW w:w="236" w:type="dxa"/>
            <w:tcBorders>
              <w:top w:val="single" w:sz="4" w:space="0" w:color="002DB2"/>
              <w:left w:val="single" w:sz="4" w:space="0" w:color="002DB2"/>
              <w:right w:val="single" w:sz="4" w:space="0" w:color="002DB2"/>
            </w:tcBorders>
            <w:shd w:val="clear" w:color="auto" w:fill="FFFFFF"/>
            <w:vAlign w:val="center"/>
          </w:tcPr>
          <w:p w:rsidR="00CB086E" w:rsidRPr="005B195C" w:rsidRDefault="00CB086E" w:rsidP="00D65BB0">
            <w:pPr>
              <w:pStyle w:val="ocsinumberingparagraphs"/>
              <w:spacing w:before="0" w:after="0" w:line="200" w:lineRule="exact"/>
              <w:jc w:val="center"/>
              <w:rPr>
                <w:color w:val="002DB2"/>
                <w:sz w:val="16"/>
                <w:szCs w:val="16"/>
              </w:rPr>
            </w:pPr>
          </w:p>
        </w:tc>
        <w:tc>
          <w:tcPr>
            <w:tcW w:w="1734"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5B195C" w:rsidRDefault="00CB086E" w:rsidP="00D65BB0">
            <w:pPr>
              <w:pStyle w:val="ocsinumberingparagraphs"/>
              <w:spacing w:before="0" w:after="0" w:line="200" w:lineRule="exact"/>
              <w:jc w:val="center"/>
              <w:rPr>
                <w:color w:val="002DB2"/>
                <w:sz w:val="16"/>
                <w:szCs w:val="16"/>
              </w:rPr>
            </w:pPr>
            <w:r>
              <w:rPr>
                <w:color w:val="002DB2"/>
                <w:sz w:val="16"/>
                <w:szCs w:val="16"/>
              </w:rPr>
              <w:t>Income domain</w:t>
            </w:r>
          </w:p>
        </w:tc>
        <w:tc>
          <w:tcPr>
            <w:tcW w:w="236" w:type="dxa"/>
            <w:tcBorders>
              <w:top w:val="single" w:sz="4" w:space="0" w:color="002DB2"/>
              <w:left w:val="single" w:sz="4" w:space="0" w:color="002DB2"/>
              <w:right w:val="single" w:sz="4" w:space="0" w:color="002DB2"/>
            </w:tcBorders>
            <w:shd w:val="clear" w:color="auto" w:fill="auto"/>
            <w:vAlign w:val="center"/>
          </w:tcPr>
          <w:p w:rsidR="00CB086E" w:rsidRPr="005B195C" w:rsidRDefault="00CB086E" w:rsidP="00D65BB0">
            <w:pPr>
              <w:pStyle w:val="ocsinumberingparagraphs"/>
              <w:spacing w:before="0" w:after="0" w:line="200" w:lineRule="exact"/>
              <w:jc w:val="center"/>
              <w:rPr>
                <w:color w:val="002DB2"/>
                <w:sz w:val="16"/>
                <w:szCs w:val="16"/>
              </w:rPr>
            </w:pPr>
          </w:p>
        </w:tc>
        <w:tc>
          <w:tcPr>
            <w:tcW w:w="1798"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5B195C" w:rsidRDefault="00CB086E" w:rsidP="00D65BB0">
            <w:pPr>
              <w:pStyle w:val="ocsinumberingparagraphs"/>
              <w:spacing w:before="0" w:after="0" w:line="200" w:lineRule="exact"/>
              <w:jc w:val="center"/>
              <w:rPr>
                <w:color w:val="002DB2"/>
                <w:sz w:val="16"/>
                <w:szCs w:val="16"/>
              </w:rPr>
            </w:pPr>
            <w:r>
              <w:rPr>
                <w:color w:val="002DB2"/>
                <w:sz w:val="16"/>
                <w:szCs w:val="16"/>
              </w:rPr>
              <w:t>Employment domain</w:t>
            </w:r>
          </w:p>
        </w:tc>
        <w:tc>
          <w:tcPr>
            <w:tcW w:w="236" w:type="dxa"/>
            <w:tcBorders>
              <w:top w:val="single" w:sz="4" w:space="0" w:color="002DB2"/>
              <w:left w:val="single" w:sz="4" w:space="0" w:color="002DB2"/>
              <w:right w:val="single" w:sz="4" w:space="0" w:color="002DB2"/>
            </w:tcBorders>
            <w:shd w:val="clear" w:color="auto" w:fill="auto"/>
            <w:vAlign w:val="center"/>
          </w:tcPr>
          <w:p w:rsidR="00CB086E" w:rsidRPr="005B195C" w:rsidRDefault="00CB086E" w:rsidP="00D65BB0">
            <w:pPr>
              <w:pStyle w:val="ocsinumberingparagraphs"/>
              <w:spacing w:before="0" w:after="0" w:line="200" w:lineRule="exact"/>
              <w:jc w:val="center"/>
              <w:rPr>
                <w:color w:val="002DB2"/>
                <w:sz w:val="16"/>
                <w:szCs w:val="16"/>
              </w:rPr>
            </w:pPr>
          </w:p>
        </w:tc>
        <w:tc>
          <w:tcPr>
            <w:tcW w:w="1648"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5B195C" w:rsidRDefault="00CB086E" w:rsidP="00D65BB0">
            <w:pPr>
              <w:pStyle w:val="ocsinumberingparagraphs"/>
              <w:spacing w:before="0" w:after="0" w:line="200" w:lineRule="exact"/>
              <w:jc w:val="center"/>
              <w:rPr>
                <w:color w:val="002DB2"/>
                <w:sz w:val="16"/>
                <w:szCs w:val="16"/>
              </w:rPr>
            </w:pPr>
            <w:r w:rsidRPr="005B195C">
              <w:rPr>
                <w:color w:val="002DB2"/>
                <w:sz w:val="16"/>
                <w:szCs w:val="16"/>
              </w:rPr>
              <w:t>Education domain</w:t>
            </w:r>
          </w:p>
        </w:tc>
      </w:tr>
      <w:tr w:rsidR="00CB086E" w:rsidRPr="00B5255A" w:rsidTr="00D65BB0">
        <w:trPr>
          <w:trHeight w:val="380"/>
          <w:jc w:val="center"/>
        </w:trPr>
        <w:tc>
          <w:tcPr>
            <w:tcW w:w="1819"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imd2010dep \* MERGEFORMAT ">
              <w:r w:rsidR="00CB086E" w:rsidRPr="00B5255A">
                <w:rPr>
                  <w:rFonts w:eastAsia="Arial Unicode MS" w:cs="Arial Unicode MS"/>
                  <w:color w:val="002DB2"/>
                  <w:sz w:val="24"/>
                  <w:szCs w:val="24"/>
                </w:rPr>
                <w:t>5,583</w:t>
              </w:r>
            </w:fldSimple>
          </w:p>
        </w:tc>
        <w:tc>
          <w:tcPr>
            <w:tcW w:w="236" w:type="dxa"/>
            <w:tcBorders>
              <w:left w:val="single" w:sz="4" w:space="0" w:color="002DB2"/>
              <w:right w:val="single" w:sz="4" w:space="0" w:color="002DB2"/>
            </w:tcBorders>
            <w:shd w:val="clear" w:color="auto" w:fill="FFFFFF"/>
            <w:vAlign w:val="center"/>
          </w:tcPr>
          <w:p w:rsidR="00CB086E" w:rsidRPr="00B5255A" w:rsidRDefault="00CB086E" w:rsidP="00D65BB0">
            <w:pPr>
              <w:pStyle w:val="ocsinumberingparagraphs"/>
              <w:spacing w:before="0" w:after="0" w:line="460" w:lineRule="exact"/>
              <w:jc w:val="center"/>
              <w:rPr>
                <w:color w:val="002DB2"/>
                <w:sz w:val="24"/>
                <w:szCs w:val="24"/>
              </w:rPr>
            </w:pPr>
          </w:p>
        </w:tc>
        <w:tc>
          <w:tcPr>
            <w:tcW w:w="1734"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incspot  \* MERGEFORMAT ">
              <w:r w:rsidR="00CB086E" w:rsidRPr="00B5255A">
                <w:rPr>
                  <w:rFonts w:eastAsia="Arial Unicode MS" w:cs="Arial Unicode MS"/>
                  <w:bCs/>
                  <w:color w:val="002DB2"/>
                  <w:sz w:val="24"/>
                  <w:szCs w:val="24"/>
                  <w:lang w:val="en-US"/>
                </w:rPr>
                <w:t>7,556</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460" w:lineRule="exact"/>
              <w:jc w:val="center"/>
              <w:rPr>
                <w:color w:val="002DB2"/>
                <w:sz w:val="24"/>
                <w:szCs w:val="24"/>
              </w:rPr>
            </w:pPr>
          </w:p>
        </w:tc>
        <w:tc>
          <w:tcPr>
            <w:tcW w:w="1798"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empspot  \* MERGEFORMAT ">
              <w:r w:rsidR="00CB086E" w:rsidRPr="00B5255A">
                <w:rPr>
                  <w:rFonts w:eastAsia="Arial Unicode MS" w:cs="Arial Unicode MS"/>
                  <w:bCs/>
                  <w:color w:val="002DB2"/>
                  <w:sz w:val="24"/>
                  <w:szCs w:val="24"/>
                  <w:lang w:val="en-US"/>
                </w:rPr>
                <w:t>2,258</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460" w:lineRule="exact"/>
              <w:jc w:val="center"/>
              <w:rPr>
                <w:color w:val="002DB2"/>
                <w:sz w:val="24"/>
                <w:szCs w:val="24"/>
              </w:rPr>
            </w:pPr>
          </w:p>
        </w:tc>
        <w:tc>
          <w:tcPr>
            <w:tcW w:w="1648"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eduspot  \* MERGEFORMAT ">
              <w:r w:rsidR="00CB086E" w:rsidRPr="00B5255A">
                <w:rPr>
                  <w:rFonts w:eastAsia="Arial Unicode MS" w:cs="Arial Unicode MS"/>
                  <w:bCs/>
                  <w:color w:val="002DB2"/>
                  <w:sz w:val="24"/>
                  <w:szCs w:val="24"/>
                  <w:lang w:val="en-US"/>
                </w:rPr>
                <w:t>0</w:t>
              </w:r>
            </w:fldSimple>
          </w:p>
        </w:tc>
      </w:tr>
      <w:tr w:rsidR="00CB086E" w:rsidRPr="00B5255A" w:rsidTr="00D65BB0">
        <w:trPr>
          <w:trHeight w:val="243"/>
          <w:jc w:val="center"/>
        </w:trPr>
        <w:tc>
          <w:tcPr>
            <w:tcW w:w="1819"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B086E" w:rsidRPr="00B5255A" w:rsidRDefault="0081561A" w:rsidP="00D65BB0">
            <w:pPr>
              <w:pStyle w:val="ocsinumberingparagraphs"/>
              <w:spacing w:before="0" w:after="0" w:line="200" w:lineRule="exact"/>
              <w:jc w:val="center"/>
              <w:rPr>
                <w:rFonts w:eastAsia="Arial Unicode MS" w:cs="Arial Unicode MS"/>
                <w:color w:val="FFFFFF"/>
                <w:sz w:val="14"/>
                <w:szCs w:val="16"/>
              </w:rPr>
            </w:pPr>
            <w:fldSimple w:instr=" DOCPROPERTY  prp_hactimd2010dep_r \* MERGEFORMAT ">
              <w:r w:rsidR="00CB086E" w:rsidRPr="00B5255A">
                <w:rPr>
                  <w:rFonts w:eastAsia="Arial Unicode MS" w:cs="Arial Unicode MS"/>
                  <w:color w:val="FFFFFF"/>
                  <w:sz w:val="14"/>
                  <w:szCs w:val="16"/>
                </w:rPr>
                <w:t>34.1% (London average = 22.8%)</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FFFFFF"/>
                <w:sz w:val="14"/>
                <w:szCs w:val="16"/>
              </w:rPr>
            </w:pPr>
          </w:p>
        </w:tc>
        <w:tc>
          <w:tcPr>
            <w:tcW w:w="1734"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incspot_comp  \* MERGEFORMAT ">
              <w:r w:rsidRPr="00B5255A">
                <w:rPr>
                  <w:rFonts w:eastAsia="Arial Unicode MS" w:cs="Arial Unicode MS"/>
                  <w:bCs/>
                  <w:color w:val="FFFFFF"/>
                  <w:sz w:val="14"/>
                  <w:szCs w:val="16"/>
                  <w:lang w:val="en-US"/>
                </w:rPr>
                <w:t>46.2% (London average</w:t>
              </w:r>
              <w:r w:rsidRPr="00B5255A">
                <w:rPr>
                  <w:rFonts w:eastAsia="Arial Unicode MS" w:cs="Arial Unicode MS"/>
                  <w:color w:val="FFFFFF"/>
                  <w:sz w:val="14"/>
                  <w:szCs w:val="16"/>
                </w:rPr>
                <w:t xml:space="preserve"> = 25.6%)</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FFFFFF"/>
                <w:sz w:val="14"/>
                <w:szCs w:val="16"/>
              </w:rPr>
            </w:pPr>
          </w:p>
        </w:tc>
        <w:tc>
          <w:tcPr>
            <w:tcW w:w="1798"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empspot_comp  \* MERGEFORMAT ">
              <w:r w:rsidRPr="00B5255A">
                <w:rPr>
                  <w:rFonts w:eastAsia="Arial Unicode MS" w:cs="Arial Unicode MS"/>
                  <w:bCs/>
                  <w:color w:val="FFFFFF"/>
                  <w:sz w:val="14"/>
                  <w:szCs w:val="16"/>
                  <w:lang w:val="en-US"/>
                </w:rPr>
                <w:t>19.6% (London average</w:t>
              </w:r>
              <w:r w:rsidRPr="00B5255A">
                <w:rPr>
                  <w:rFonts w:eastAsia="Arial Unicode MS" w:cs="Arial Unicode MS"/>
                  <w:color w:val="FFFFFF"/>
                  <w:sz w:val="14"/>
                  <w:szCs w:val="16"/>
                </w:rPr>
                <w:t xml:space="preserve"> = 13.9%)</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FFFFFF"/>
                <w:sz w:val="14"/>
                <w:szCs w:val="16"/>
              </w:rPr>
            </w:pPr>
          </w:p>
        </w:tc>
        <w:tc>
          <w:tcPr>
            <w:tcW w:w="1648"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eduspot_comp  \* MERGEFORMAT ">
              <w:r w:rsidRPr="00B5255A">
                <w:rPr>
                  <w:rFonts w:eastAsia="Arial Unicode MS" w:cs="Arial Unicode MS"/>
                  <w:bCs/>
                  <w:color w:val="FFFFFF"/>
                  <w:sz w:val="14"/>
                  <w:szCs w:val="16"/>
                  <w:lang w:val="en-US"/>
                </w:rPr>
                <w:t xml:space="preserve">(London average = </w:t>
              </w:r>
              <w:r w:rsidRPr="00B5255A">
                <w:rPr>
                  <w:rFonts w:eastAsia="Arial Unicode MS" w:cs="Arial Unicode MS"/>
                  <w:color w:val="FFFFFF"/>
                  <w:sz w:val="14"/>
                  <w:szCs w:val="16"/>
                </w:rPr>
                <w:t>4.1%)</w:t>
              </w:r>
            </w:fldSimple>
          </w:p>
        </w:tc>
      </w:tr>
      <w:tr w:rsidR="00CB086E" w:rsidRPr="00B5255A" w:rsidTr="00D65BB0">
        <w:trPr>
          <w:trHeight w:val="203"/>
          <w:jc w:val="center"/>
        </w:trPr>
        <w:tc>
          <w:tcPr>
            <w:tcW w:w="1819"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r w:rsidRPr="00B5255A">
              <w:rPr>
                <w:color w:val="002DB2"/>
                <w:sz w:val="16"/>
                <w:szCs w:val="16"/>
              </w:rPr>
              <w:t>Health domain</w:t>
            </w:r>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p>
        </w:tc>
        <w:tc>
          <w:tcPr>
            <w:tcW w:w="1734"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r w:rsidRPr="00B5255A">
              <w:rPr>
                <w:color w:val="002DB2"/>
                <w:sz w:val="16"/>
                <w:szCs w:val="16"/>
              </w:rPr>
              <w:t>Barriers to Housing and Services domain</w:t>
            </w:r>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p>
        </w:tc>
        <w:tc>
          <w:tcPr>
            <w:tcW w:w="1798"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r w:rsidRPr="00B5255A">
              <w:rPr>
                <w:color w:val="002DB2"/>
                <w:sz w:val="16"/>
                <w:szCs w:val="16"/>
              </w:rPr>
              <w:t>Living Environment domain</w:t>
            </w:r>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p>
        </w:tc>
        <w:tc>
          <w:tcPr>
            <w:tcW w:w="1648"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002DB2"/>
                <w:sz w:val="16"/>
                <w:szCs w:val="16"/>
              </w:rPr>
            </w:pPr>
            <w:r w:rsidRPr="00B5255A">
              <w:rPr>
                <w:color w:val="002DB2"/>
                <w:sz w:val="16"/>
                <w:szCs w:val="16"/>
              </w:rPr>
              <w:t>Crime domain</w:t>
            </w:r>
          </w:p>
        </w:tc>
      </w:tr>
      <w:tr w:rsidR="00CB086E" w:rsidRPr="00B5255A" w:rsidTr="00D65BB0">
        <w:trPr>
          <w:jc w:val="center"/>
        </w:trPr>
        <w:tc>
          <w:tcPr>
            <w:tcW w:w="1819"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healthspot  \* MERGEFORMAT ">
              <w:r w:rsidR="00CB086E" w:rsidRPr="00B5255A">
                <w:rPr>
                  <w:rFonts w:eastAsia="Arial Unicode MS" w:cs="Arial Unicode MS"/>
                  <w:color w:val="002DB2"/>
                  <w:sz w:val="24"/>
                  <w:szCs w:val="24"/>
                </w:rPr>
                <w:t>1,630</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460" w:lineRule="exact"/>
              <w:jc w:val="center"/>
              <w:rPr>
                <w:color w:val="002DB2"/>
                <w:sz w:val="24"/>
                <w:szCs w:val="24"/>
              </w:rPr>
            </w:pPr>
          </w:p>
        </w:tc>
        <w:tc>
          <w:tcPr>
            <w:tcW w:w="1734"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barspot  \* MERGEFORMAT ">
              <w:r w:rsidR="00CB086E" w:rsidRPr="00B5255A">
                <w:rPr>
                  <w:rFonts w:eastAsia="Arial Unicode MS" w:cs="Arial Unicode MS"/>
                  <w:bCs/>
                  <w:color w:val="002DB2"/>
                  <w:sz w:val="24"/>
                  <w:szCs w:val="24"/>
                  <w:lang w:val="en-US"/>
                </w:rPr>
                <w:t>8,178</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460" w:lineRule="exact"/>
              <w:jc w:val="center"/>
              <w:rPr>
                <w:color w:val="002DB2"/>
                <w:sz w:val="24"/>
                <w:szCs w:val="24"/>
              </w:rPr>
            </w:pPr>
          </w:p>
        </w:tc>
        <w:tc>
          <w:tcPr>
            <w:tcW w:w="1798"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livspot  \* MERGEFORMAT ">
              <w:r w:rsidR="00CB086E" w:rsidRPr="00163012">
                <w:rPr>
                  <w:rFonts w:eastAsia="Arial Unicode MS" w:cs="Arial Unicode MS"/>
                  <w:bCs/>
                  <w:color w:val="002DB2"/>
                  <w:sz w:val="24"/>
                  <w:szCs w:val="24"/>
                  <w:lang w:val="en-US"/>
                </w:rPr>
                <w:t>10,705</w:t>
              </w:r>
            </w:fldSimple>
          </w:p>
        </w:tc>
        <w:tc>
          <w:tcPr>
            <w:tcW w:w="236" w:type="dxa"/>
            <w:tcBorders>
              <w:left w:val="single" w:sz="4" w:space="0" w:color="002DB2"/>
              <w:right w:val="single" w:sz="4" w:space="0" w:color="002DB2"/>
            </w:tcBorders>
            <w:shd w:val="clear" w:color="auto" w:fill="auto"/>
            <w:vAlign w:val="center"/>
          </w:tcPr>
          <w:p w:rsidR="00CB086E" w:rsidRPr="00B5255A" w:rsidRDefault="00CB086E" w:rsidP="00D65BB0">
            <w:pPr>
              <w:pStyle w:val="ocsinumberingparagraphs"/>
              <w:spacing w:before="0" w:after="0" w:line="460" w:lineRule="exact"/>
              <w:jc w:val="center"/>
              <w:rPr>
                <w:color w:val="002DB2"/>
                <w:sz w:val="24"/>
                <w:szCs w:val="24"/>
              </w:rPr>
            </w:pPr>
          </w:p>
        </w:tc>
        <w:tc>
          <w:tcPr>
            <w:tcW w:w="1648" w:type="dxa"/>
            <w:tcBorders>
              <w:top w:val="single" w:sz="4" w:space="0" w:color="002DB2"/>
              <w:left w:val="single" w:sz="4" w:space="0" w:color="002DB2"/>
              <w:bottom w:val="single" w:sz="4" w:space="0" w:color="002DB2"/>
              <w:right w:val="single" w:sz="4" w:space="0" w:color="002DB2"/>
            </w:tcBorders>
            <w:shd w:val="clear" w:color="auto" w:fill="auto"/>
            <w:vAlign w:val="center"/>
          </w:tcPr>
          <w:p w:rsidR="00CB086E" w:rsidRPr="00B5255A" w:rsidRDefault="0081561A" w:rsidP="00D65BB0">
            <w:pPr>
              <w:pStyle w:val="ocsinumberingparagraphs"/>
              <w:spacing w:before="0" w:after="0" w:line="460" w:lineRule="exact"/>
              <w:jc w:val="center"/>
              <w:rPr>
                <w:rFonts w:eastAsia="Arial Unicode MS" w:cs="Arial Unicode MS"/>
                <w:color w:val="002DB2"/>
                <w:sz w:val="24"/>
                <w:szCs w:val="24"/>
              </w:rPr>
            </w:pPr>
            <w:fldSimple w:instr=" DOCPROPERTY  prp_hact_crimespot  \* MERGEFORMAT ">
              <w:r w:rsidR="00CB086E" w:rsidRPr="00B5255A">
                <w:rPr>
                  <w:rFonts w:eastAsia="Arial Unicode MS" w:cs="Arial Unicode MS"/>
                  <w:color w:val="002DB2"/>
                  <w:sz w:val="24"/>
                  <w:szCs w:val="24"/>
                </w:rPr>
                <w:t>12,164</w:t>
              </w:r>
            </w:fldSimple>
          </w:p>
        </w:tc>
      </w:tr>
      <w:tr w:rsidR="00CB086E" w:rsidRPr="00B5255A" w:rsidTr="00D65BB0">
        <w:trPr>
          <w:jc w:val="center"/>
        </w:trPr>
        <w:tc>
          <w:tcPr>
            <w:tcW w:w="1819" w:type="dxa"/>
            <w:tcBorders>
              <w:top w:val="single" w:sz="4" w:space="0" w:color="002DB2"/>
              <w:left w:val="single" w:sz="4" w:space="0" w:color="002DB2"/>
              <w:bottom w:val="single" w:sz="4" w:space="0" w:color="auto"/>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healthspot_comp  \* MERGEFORMAT ">
              <w:r w:rsidRPr="00B5255A">
                <w:rPr>
                  <w:rFonts w:eastAsia="Arial Unicode MS" w:cs="Arial Unicode MS"/>
                  <w:color w:val="FFFFFF"/>
                  <w:sz w:val="14"/>
                  <w:szCs w:val="16"/>
                </w:rPr>
                <w:t>10.0% (London average = 7.9%)</w:t>
              </w:r>
            </w:fldSimple>
          </w:p>
        </w:tc>
        <w:tc>
          <w:tcPr>
            <w:tcW w:w="236" w:type="dxa"/>
            <w:tcBorders>
              <w:left w:val="single" w:sz="4" w:space="0" w:color="002DB2"/>
              <w:bottom w:val="single" w:sz="4" w:space="0" w:color="auto"/>
              <w:right w:val="single" w:sz="4" w:space="0" w:color="002DB2"/>
            </w:tcBorders>
            <w:shd w:val="clear" w:color="auto" w:fill="auto"/>
            <w:vAlign w:val="center"/>
          </w:tcPr>
          <w:p w:rsidR="00CB086E" w:rsidRPr="00B5255A" w:rsidRDefault="00CB086E" w:rsidP="00D65BB0">
            <w:pPr>
              <w:pStyle w:val="ocsinumberingparagraphs"/>
              <w:spacing w:before="0" w:after="0" w:line="200" w:lineRule="exact"/>
              <w:jc w:val="center"/>
              <w:rPr>
                <w:color w:val="FFFFFF"/>
                <w:sz w:val="14"/>
                <w:szCs w:val="16"/>
              </w:rPr>
            </w:pPr>
          </w:p>
        </w:tc>
        <w:tc>
          <w:tcPr>
            <w:tcW w:w="1734" w:type="dxa"/>
            <w:tcBorders>
              <w:top w:val="single" w:sz="4" w:space="0" w:color="002DB2"/>
              <w:left w:val="single" w:sz="4" w:space="0" w:color="002DB2"/>
              <w:bottom w:val="single" w:sz="4" w:space="0" w:color="auto"/>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barspot_comp  \* MERGEFORMAT ">
              <w:r w:rsidRPr="00B5255A">
                <w:rPr>
                  <w:rFonts w:eastAsia="Arial Unicode MS" w:cs="Arial Unicode MS"/>
                  <w:bCs/>
                  <w:color w:val="FFFFFF"/>
                  <w:sz w:val="14"/>
                  <w:szCs w:val="16"/>
                  <w:lang w:val="en-US"/>
                </w:rPr>
                <w:t>50.0% (London average</w:t>
              </w:r>
              <w:r w:rsidRPr="00B5255A">
                <w:rPr>
                  <w:rFonts w:eastAsia="Arial Unicode MS" w:cs="Arial Unicode MS"/>
                  <w:color w:val="FFFFFF"/>
                  <w:sz w:val="14"/>
                  <w:szCs w:val="16"/>
                </w:rPr>
                <w:t xml:space="preserve"> = 47.0%)</w:t>
              </w:r>
            </w:fldSimple>
          </w:p>
        </w:tc>
        <w:tc>
          <w:tcPr>
            <w:tcW w:w="236" w:type="dxa"/>
            <w:tcBorders>
              <w:left w:val="single" w:sz="4" w:space="0" w:color="002DB2"/>
              <w:bottom w:val="single" w:sz="4" w:space="0" w:color="auto"/>
              <w:right w:val="single" w:sz="4" w:space="0" w:color="002DB2"/>
            </w:tcBorders>
            <w:vAlign w:val="center"/>
          </w:tcPr>
          <w:p w:rsidR="00CB086E" w:rsidRPr="00B5255A" w:rsidRDefault="00CB086E" w:rsidP="00D65BB0">
            <w:pPr>
              <w:pStyle w:val="ocsinumberingparagraphs"/>
              <w:spacing w:before="0" w:after="0" w:line="200" w:lineRule="exact"/>
              <w:jc w:val="center"/>
              <w:rPr>
                <w:color w:val="FFFFFF"/>
                <w:sz w:val="14"/>
                <w:szCs w:val="16"/>
              </w:rPr>
            </w:pPr>
          </w:p>
        </w:tc>
        <w:tc>
          <w:tcPr>
            <w:tcW w:w="1798" w:type="dxa"/>
            <w:tcBorders>
              <w:top w:val="single" w:sz="4" w:space="0" w:color="002DB2"/>
              <w:left w:val="single" w:sz="4" w:space="0" w:color="002DB2"/>
              <w:bottom w:val="single" w:sz="4" w:space="0" w:color="auto"/>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livspot_comp  \* MERGEFORMAT ">
              <w:r w:rsidRPr="00B5255A">
                <w:rPr>
                  <w:rFonts w:eastAsia="Arial Unicode MS" w:cs="Arial Unicode MS"/>
                  <w:bCs/>
                  <w:color w:val="FFFFFF"/>
                  <w:sz w:val="14"/>
                  <w:szCs w:val="16"/>
                  <w:lang w:val="en-US"/>
                </w:rPr>
                <w:t>65.4% (London average</w:t>
              </w:r>
              <w:r w:rsidRPr="00B5255A">
                <w:rPr>
                  <w:rFonts w:eastAsia="Arial Unicode MS" w:cs="Arial Unicode MS"/>
                  <w:color w:val="FFFFFF"/>
                  <w:sz w:val="14"/>
                  <w:szCs w:val="16"/>
                </w:rPr>
                <w:t xml:space="preserve"> = 36.5%)</w:t>
              </w:r>
            </w:fldSimple>
          </w:p>
        </w:tc>
        <w:tc>
          <w:tcPr>
            <w:tcW w:w="236" w:type="dxa"/>
            <w:tcBorders>
              <w:left w:val="single" w:sz="4" w:space="0" w:color="002DB2"/>
              <w:bottom w:val="single" w:sz="4" w:space="0" w:color="auto"/>
              <w:right w:val="single" w:sz="4" w:space="0" w:color="002DB2"/>
            </w:tcBorders>
            <w:vAlign w:val="center"/>
          </w:tcPr>
          <w:p w:rsidR="00CB086E" w:rsidRPr="00B5255A" w:rsidRDefault="00CB086E" w:rsidP="00D65BB0">
            <w:pPr>
              <w:pStyle w:val="ocsinumberingparagraphs"/>
              <w:spacing w:before="0" w:after="0" w:line="200" w:lineRule="exact"/>
              <w:jc w:val="center"/>
              <w:rPr>
                <w:color w:val="FFFFFF"/>
                <w:sz w:val="14"/>
                <w:szCs w:val="16"/>
              </w:rPr>
            </w:pPr>
          </w:p>
        </w:tc>
        <w:tc>
          <w:tcPr>
            <w:tcW w:w="1648" w:type="dxa"/>
            <w:tcBorders>
              <w:top w:val="single" w:sz="4" w:space="0" w:color="002DB2"/>
              <w:left w:val="single" w:sz="4" w:space="0" w:color="002DB2"/>
              <w:bottom w:val="single" w:sz="4" w:space="0" w:color="auto"/>
              <w:right w:val="single" w:sz="4" w:space="0" w:color="002DB2"/>
            </w:tcBorders>
            <w:shd w:val="clear" w:color="auto" w:fill="002DB2"/>
            <w:vAlign w:val="center"/>
          </w:tcPr>
          <w:p w:rsidR="00CB086E" w:rsidRPr="00B5255A" w:rsidRDefault="00CB086E" w:rsidP="00D65BB0">
            <w:pPr>
              <w:pStyle w:val="ocsinumberingparagraphs"/>
              <w:spacing w:before="0" w:after="0" w:line="200" w:lineRule="exact"/>
              <w:jc w:val="center"/>
              <w:rPr>
                <w:rFonts w:eastAsia="Arial Unicode MS" w:cs="Arial Unicode MS"/>
                <w:color w:val="FFFFFF"/>
                <w:sz w:val="14"/>
                <w:szCs w:val="16"/>
              </w:rPr>
            </w:pPr>
            <w:r w:rsidRPr="00B5255A">
              <w:rPr>
                <w:rFonts w:eastAsia="Arial Unicode MS" w:cs="Arial Unicode MS"/>
                <w:color w:val="FFFFFF"/>
                <w:sz w:val="14"/>
                <w:szCs w:val="16"/>
              </w:rPr>
              <w:t xml:space="preserve"> </w:t>
            </w:r>
            <w:fldSimple w:instr=" DOCPROPERTY  prp_hact_crimespot_comp  \* MERGEFORMAT ">
              <w:r w:rsidRPr="00B5255A">
                <w:rPr>
                  <w:rFonts w:eastAsia="Arial Unicode MS" w:cs="Arial Unicode MS"/>
                  <w:color w:val="FFFFFF"/>
                  <w:sz w:val="14"/>
                  <w:szCs w:val="16"/>
                </w:rPr>
                <w:t>74.3% (London average = 42.6%)</w:t>
              </w:r>
            </w:fldSimple>
          </w:p>
        </w:tc>
      </w:tr>
      <w:tr w:rsidR="00CB086E" w:rsidRPr="00CF6857" w:rsidTr="00D65BB0">
        <w:trPr>
          <w:jc w:val="center"/>
        </w:trPr>
        <w:tc>
          <w:tcPr>
            <w:tcW w:w="7707" w:type="dxa"/>
            <w:gridSpan w:val="7"/>
            <w:tcBorders>
              <w:top w:val="single" w:sz="4" w:space="0" w:color="auto"/>
              <w:left w:val="single" w:sz="4" w:space="0" w:color="002DB2"/>
              <w:bottom w:val="single" w:sz="4" w:space="0" w:color="002DB2"/>
              <w:right w:val="single" w:sz="4" w:space="0" w:color="002DB2"/>
            </w:tcBorders>
            <w:shd w:val="clear" w:color="auto" w:fill="auto"/>
            <w:vAlign w:val="center"/>
          </w:tcPr>
          <w:p w:rsidR="00CB086E" w:rsidRPr="00CF6857" w:rsidRDefault="00CB086E" w:rsidP="00D65BB0">
            <w:pPr>
              <w:spacing w:line="280" w:lineRule="exact"/>
              <w:rPr>
                <w:rFonts w:ascii="Arial Unicode MS" w:eastAsia="PMingLiU" w:hAnsi="Arial Unicode MS"/>
                <w:lang w:eastAsia="zh-TW"/>
              </w:rPr>
            </w:pPr>
            <w:r w:rsidRPr="00254BA4">
              <w:rPr>
                <w:rFonts w:ascii="Arial Unicode MS" w:eastAsia="PMingLiU" w:hAnsi="Arial Unicode MS"/>
                <w:color w:val="002DB2"/>
                <w:sz w:val="16"/>
                <w:szCs w:val="16"/>
                <w:lang w:eastAsia="zh-TW"/>
              </w:rPr>
              <w:t xml:space="preserve">Source: Communities and Local Government </w:t>
            </w:r>
            <w:r>
              <w:rPr>
                <w:rFonts w:ascii="Arial Unicode MS" w:eastAsia="PMingLiU" w:hAnsi="Arial Unicode MS"/>
                <w:color w:val="002DB2"/>
                <w:sz w:val="16"/>
                <w:szCs w:val="16"/>
                <w:lang w:eastAsia="zh-TW"/>
              </w:rPr>
              <w:t>(Indices of Deprivation 2015)</w:t>
            </w:r>
          </w:p>
        </w:tc>
      </w:tr>
    </w:tbl>
    <w:p w:rsidR="00CB086E" w:rsidRDefault="00CB086E" w:rsidP="00A25B01">
      <w:pPr>
        <w:ind w:left="0"/>
      </w:pPr>
    </w:p>
    <w:p w:rsidR="00CB086E" w:rsidRPr="008751AC" w:rsidRDefault="00CB086E" w:rsidP="00A25B01">
      <w:pPr>
        <w:ind w:left="0"/>
        <w:rPr>
          <w:b/>
          <w:color w:val="548DD4" w:themeColor="text2" w:themeTint="99"/>
        </w:rPr>
      </w:pPr>
      <w:r w:rsidRPr="008751AC">
        <w:rPr>
          <w:b/>
          <w:noProof/>
          <w:color w:val="548DD4" w:themeColor="text2" w:themeTint="99"/>
          <w:lang w:eastAsia="en-GB"/>
        </w:rPr>
        <w:drawing>
          <wp:anchor distT="0" distB="0" distL="114300" distR="114300" simplePos="0" relativeHeight="251660288" behindDoc="1" locked="0" layoutInCell="1" allowOverlap="1">
            <wp:simplePos x="0" y="0"/>
            <wp:positionH relativeFrom="column">
              <wp:posOffset>104775</wp:posOffset>
            </wp:positionH>
            <wp:positionV relativeFrom="paragraph">
              <wp:posOffset>798195</wp:posOffset>
            </wp:positionV>
            <wp:extent cx="5210175" cy="1495425"/>
            <wp:effectExtent l="19050" t="0" r="9525" b="0"/>
            <wp:wrapTight wrapText="bothSides">
              <wp:wrapPolygon edited="0">
                <wp:start x="-79" y="0"/>
                <wp:lineTo x="-79" y="21462"/>
                <wp:lineTo x="21639" y="21462"/>
                <wp:lineTo x="21639" y="0"/>
                <wp:lineTo x="-7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210175" cy="1495425"/>
                    </a:xfrm>
                    <a:prstGeom prst="rect">
                      <a:avLst/>
                    </a:prstGeom>
                    <a:noFill/>
                  </pic:spPr>
                </pic:pic>
              </a:graphicData>
            </a:graphic>
          </wp:anchor>
        </w:drawing>
      </w:r>
      <w:r w:rsidRPr="008751AC">
        <w:rPr>
          <w:b/>
          <w:color w:val="548DD4" w:themeColor="text2" w:themeTint="99"/>
        </w:rPr>
        <w:t>Child Poverty – Out of Work Households, Lone Parents, Children in Poverty</w:t>
      </w:r>
    </w:p>
    <w:p w:rsidR="00CB086E" w:rsidRDefault="00CB086E" w:rsidP="00A25B01">
      <w:pPr>
        <w:ind w:left="0"/>
      </w:pPr>
    </w:p>
    <w:p w:rsidR="00CB086E" w:rsidRDefault="00CB086E" w:rsidP="00A25B01">
      <w:pPr>
        <w:ind w:left="0"/>
      </w:pPr>
    </w:p>
    <w:p w:rsidR="00A67ED2" w:rsidRDefault="00A67ED2" w:rsidP="00A25B01">
      <w:pPr>
        <w:ind w:left="0"/>
      </w:pPr>
    </w:p>
    <w:p w:rsidR="00A67ED2" w:rsidRDefault="00A67ED2" w:rsidP="00A25B01">
      <w:pPr>
        <w:ind w:left="0"/>
      </w:pPr>
    </w:p>
    <w:p w:rsidR="00A67ED2" w:rsidRDefault="00A67ED2" w:rsidP="00A25B01">
      <w:pPr>
        <w:ind w:left="0"/>
      </w:pPr>
    </w:p>
    <w:p w:rsidR="00A67ED2" w:rsidRDefault="00A67ED2" w:rsidP="00A25B01">
      <w:pPr>
        <w:ind w:left="0"/>
      </w:pPr>
    </w:p>
    <w:p w:rsidR="00A67ED2" w:rsidRDefault="00A67ED2" w:rsidP="00A25B01">
      <w:pPr>
        <w:ind w:left="0"/>
      </w:pPr>
    </w:p>
    <w:p w:rsidR="00A67ED2" w:rsidRDefault="00A67ED2" w:rsidP="00A25B01">
      <w:pPr>
        <w:ind w:left="0"/>
      </w:pPr>
    </w:p>
    <w:p w:rsidR="00310DAB" w:rsidRDefault="00310DAB" w:rsidP="00A25B01">
      <w:pPr>
        <w:ind w:left="0"/>
        <w:rPr>
          <w:b/>
          <w:color w:val="548DD4" w:themeColor="text2" w:themeTint="99"/>
        </w:rPr>
      </w:pPr>
    </w:p>
    <w:p w:rsidR="00A67ED2" w:rsidRPr="008751AC" w:rsidRDefault="00A67ED2" w:rsidP="00A25B01">
      <w:pPr>
        <w:ind w:left="0"/>
        <w:rPr>
          <w:b/>
          <w:color w:val="548DD4" w:themeColor="text2" w:themeTint="99"/>
        </w:rPr>
      </w:pPr>
      <w:r w:rsidRPr="008751AC">
        <w:rPr>
          <w:b/>
          <w:color w:val="548DD4" w:themeColor="text2" w:themeTint="99"/>
        </w:rPr>
        <w:t>Pensioner Deprivation (No Transport, Single Household, Pension Credits)</w:t>
      </w:r>
    </w:p>
    <w:p w:rsidR="00A67ED2" w:rsidRDefault="00A67ED2" w:rsidP="00A25B01">
      <w:pPr>
        <w:ind w:left="0"/>
      </w:pPr>
    </w:p>
    <w:tbl>
      <w:tblPr>
        <w:tblW w:w="8633" w:type="dxa"/>
        <w:tblLayout w:type="fixed"/>
        <w:tblLook w:val="04A0"/>
      </w:tblPr>
      <w:tblGrid>
        <w:gridCol w:w="2861"/>
        <w:gridCol w:w="284"/>
        <w:gridCol w:w="2410"/>
        <w:gridCol w:w="236"/>
        <w:gridCol w:w="2842"/>
      </w:tblGrid>
      <w:tr w:rsidR="00A67ED2" w:rsidRPr="005E4D70" w:rsidTr="00310DAB">
        <w:tc>
          <w:tcPr>
            <w:tcW w:w="2861"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A67ED2" w:rsidRPr="005E4D70" w:rsidRDefault="00A67ED2" w:rsidP="00D65BB0">
            <w:pPr>
              <w:pStyle w:val="ocsinumberingparagraphs"/>
              <w:spacing w:before="0" w:after="0" w:line="200" w:lineRule="exact"/>
              <w:jc w:val="center"/>
              <w:rPr>
                <w:color w:val="002DB2"/>
                <w:sz w:val="16"/>
                <w:szCs w:val="16"/>
              </w:rPr>
            </w:pPr>
            <w:r>
              <w:rPr>
                <w:color w:val="002DB2"/>
                <w:sz w:val="16"/>
                <w:szCs w:val="16"/>
              </w:rPr>
              <w:t>Private p</w:t>
            </w:r>
            <w:r w:rsidRPr="005E4D70">
              <w:rPr>
                <w:color w:val="002DB2"/>
                <w:sz w:val="16"/>
                <w:szCs w:val="16"/>
              </w:rPr>
              <w:t>ensioner households with no car or van</w:t>
            </w:r>
            <w:r>
              <w:rPr>
                <w:color w:val="002DB2"/>
                <w:sz w:val="16"/>
                <w:szCs w:val="16"/>
              </w:rPr>
              <w:t xml:space="preserve"> (Census 2011)</w:t>
            </w:r>
          </w:p>
        </w:tc>
        <w:tc>
          <w:tcPr>
            <w:tcW w:w="284" w:type="dxa"/>
            <w:tcBorders>
              <w:left w:val="single" w:sz="4" w:space="0" w:color="002DB2"/>
              <w:right w:val="single" w:sz="4" w:space="0" w:color="002DB2"/>
            </w:tcBorders>
            <w:shd w:val="clear" w:color="auto" w:fill="FFFFFF"/>
            <w:vAlign w:val="center"/>
          </w:tcPr>
          <w:p w:rsidR="00A67ED2" w:rsidRPr="005E4D70" w:rsidRDefault="00A67ED2" w:rsidP="00D65BB0">
            <w:pPr>
              <w:pStyle w:val="ocsinumberingparagraphs"/>
              <w:spacing w:before="0" w:after="0" w:line="200" w:lineRule="exact"/>
              <w:jc w:val="center"/>
              <w:rPr>
                <w:color w:val="002DB2"/>
                <w:sz w:val="16"/>
                <w:szCs w:val="16"/>
              </w:rPr>
            </w:pPr>
          </w:p>
        </w:tc>
        <w:tc>
          <w:tcPr>
            <w:tcW w:w="2410"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A67ED2" w:rsidRPr="005E4D70" w:rsidRDefault="00A67ED2" w:rsidP="00D65BB0">
            <w:pPr>
              <w:pStyle w:val="ocsinumberingparagraphs"/>
              <w:spacing w:before="0" w:after="0" w:line="200" w:lineRule="exact"/>
              <w:jc w:val="center"/>
              <w:rPr>
                <w:color w:val="002DB2"/>
                <w:sz w:val="16"/>
                <w:szCs w:val="16"/>
              </w:rPr>
            </w:pPr>
            <w:r w:rsidRPr="005E4D70">
              <w:rPr>
                <w:color w:val="002DB2"/>
                <w:sz w:val="16"/>
                <w:szCs w:val="16"/>
              </w:rPr>
              <w:t>Households of one pensioner</w:t>
            </w:r>
            <w:r>
              <w:rPr>
                <w:color w:val="002DB2"/>
                <w:sz w:val="16"/>
                <w:szCs w:val="16"/>
              </w:rPr>
              <w:t xml:space="preserve"> (Census 2011)</w:t>
            </w:r>
          </w:p>
        </w:tc>
        <w:tc>
          <w:tcPr>
            <w:tcW w:w="236" w:type="dxa"/>
            <w:tcBorders>
              <w:left w:val="single" w:sz="4" w:space="0" w:color="002DB2"/>
              <w:right w:val="single" w:sz="4" w:space="0" w:color="002DB2"/>
            </w:tcBorders>
            <w:shd w:val="clear" w:color="auto" w:fill="auto"/>
            <w:vAlign w:val="center"/>
          </w:tcPr>
          <w:p w:rsidR="00A67ED2" w:rsidRPr="005E4D70" w:rsidRDefault="00A67ED2" w:rsidP="00D65BB0">
            <w:pPr>
              <w:pStyle w:val="ocsinumberingparagraphs"/>
              <w:spacing w:before="0" w:after="0" w:line="200" w:lineRule="exact"/>
              <w:jc w:val="center"/>
              <w:rPr>
                <w:color w:val="002DB2"/>
                <w:sz w:val="16"/>
                <w:szCs w:val="16"/>
              </w:rPr>
            </w:pPr>
          </w:p>
        </w:tc>
        <w:tc>
          <w:tcPr>
            <w:tcW w:w="2842"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A67ED2" w:rsidRPr="005E4D70" w:rsidRDefault="00A67ED2" w:rsidP="00D65BB0">
            <w:pPr>
              <w:pStyle w:val="ocsinumberingparagraphs"/>
              <w:spacing w:before="0" w:after="0" w:line="200" w:lineRule="exact"/>
              <w:jc w:val="center"/>
              <w:rPr>
                <w:color w:val="002DB2"/>
                <w:sz w:val="16"/>
                <w:szCs w:val="16"/>
              </w:rPr>
            </w:pPr>
            <w:r w:rsidRPr="005E4D70">
              <w:rPr>
                <w:color w:val="002DB2"/>
                <w:sz w:val="16"/>
                <w:szCs w:val="16"/>
              </w:rPr>
              <w:t>Pension credit claimant</w:t>
            </w:r>
            <w:r>
              <w:rPr>
                <w:color w:val="002DB2"/>
                <w:sz w:val="16"/>
                <w:szCs w:val="16"/>
              </w:rPr>
              <w:t xml:space="preserve"> (Department for Work and Pensions: May-18)</w:t>
            </w:r>
          </w:p>
        </w:tc>
      </w:tr>
      <w:tr w:rsidR="00A67ED2" w:rsidRPr="008F3485" w:rsidTr="00310DAB">
        <w:trPr>
          <w:trHeight w:val="380"/>
        </w:trPr>
        <w:tc>
          <w:tcPr>
            <w:tcW w:w="2861"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A67ED2" w:rsidRPr="008F3485" w:rsidRDefault="0081561A" w:rsidP="00D65BB0">
            <w:pPr>
              <w:pStyle w:val="ocsinumberingparagraphs"/>
              <w:spacing w:before="0" w:after="0" w:line="460" w:lineRule="exact"/>
              <w:jc w:val="center"/>
              <w:rPr>
                <w:color w:val="002DB2"/>
                <w:sz w:val="24"/>
                <w:szCs w:val="24"/>
              </w:rPr>
            </w:pPr>
            <w:fldSimple w:instr=" DOCPROPERTY  prp_hact_pensioncar  \* MERGEFORMAT ">
              <w:r w:rsidR="00A67ED2">
                <w:rPr>
                  <w:color w:val="002DB2"/>
                  <w:sz w:val="24"/>
                  <w:szCs w:val="24"/>
                </w:rPr>
                <w:t>898</w:t>
              </w:r>
            </w:fldSimple>
          </w:p>
        </w:tc>
        <w:tc>
          <w:tcPr>
            <w:tcW w:w="284" w:type="dxa"/>
            <w:tcBorders>
              <w:left w:val="single" w:sz="4" w:space="0" w:color="002DB2"/>
              <w:right w:val="single" w:sz="4" w:space="0" w:color="002DB2"/>
            </w:tcBorders>
            <w:shd w:val="clear" w:color="auto" w:fill="FFFFFF"/>
            <w:vAlign w:val="center"/>
          </w:tcPr>
          <w:p w:rsidR="00A67ED2" w:rsidRPr="008F3485" w:rsidRDefault="00A67ED2" w:rsidP="00D65BB0">
            <w:pPr>
              <w:pStyle w:val="ocsinumberingparagraphs"/>
              <w:spacing w:before="0" w:after="0" w:line="460" w:lineRule="exact"/>
              <w:jc w:val="center"/>
              <w:rPr>
                <w:color w:val="002DB2"/>
                <w:sz w:val="24"/>
                <w:szCs w:val="24"/>
              </w:rPr>
            </w:pPr>
          </w:p>
        </w:tc>
        <w:tc>
          <w:tcPr>
            <w:tcW w:w="2410"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A67ED2" w:rsidRPr="008F3485" w:rsidRDefault="0081561A" w:rsidP="00D65BB0">
            <w:pPr>
              <w:pStyle w:val="ocsinumberingparagraphs"/>
              <w:spacing w:before="0" w:after="0" w:line="460" w:lineRule="exact"/>
              <w:jc w:val="center"/>
              <w:rPr>
                <w:color w:val="002DB2"/>
                <w:sz w:val="24"/>
                <w:szCs w:val="24"/>
              </w:rPr>
            </w:pPr>
            <w:fldSimple w:instr=" DOCPROPERTY  prp_hact_onepensioner  \* MERGEFORMAT ">
              <w:r w:rsidR="00A67ED2">
                <w:rPr>
                  <w:color w:val="002DB2"/>
                  <w:sz w:val="24"/>
                  <w:szCs w:val="24"/>
                </w:rPr>
                <w:t>611</w:t>
              </w:r>
            </w:fldSimple>
          </w:p>
        </w:tc>
        <w:tc>
          <w:tcPr>
            <w:tcW w:w="236" w:type="dxa"/>
            <w:tcBorders>
              <w:left w:val="single" w:sz="4" w:space="0" w:color="002DB2"/>
              <w:right w:val="single" w:sz="4" w:space="0" w:color="002DB2"/>
            </w:tcBorders>
            <w:shd w:val="clear" w:color="auto" w:fill="auto"/>
            <w:vAlign w:val="center"/>
          </w:tcPr>
          <w:p w:rsidR="00A67ED2" w:rsidRPr="008F3485" w:rsidRDefault="00A67ED2" w:rsidP="00D65BB0">
            <w:pPr>
              <w:pStyle w:val="ocsinumberingparagraphs"/>
              <w:spacing w:before="0" w:after="0" w:line="460" w:lineRule="exact"/>
              <w:jc w:val="center"/>
              <w:rPr>
                <w:color w:val="002DB2"/>
                <w:sz w:val="24"/>
                <w:szCs w:val="24"/>
              </w:rPr>
            </w:pPr>
          </w:p>
        </w:tc>
        <w:tc>
          <w:tcPr>
            <w:tcW w:w="2842"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A67ED2" w:rsidRPr="008F3485" w:rsidRDefault="0081561A" w:rsidP="00D65BB0">
            <w:pPr>
              <w:pStyle w:val="ocsinumberingparagraphs"/>
              <w:spacing w:before="0" w:after="0" w:line="460" w:lineRule="exact"/>
              <w:jc w:val="center"/>
              <w:rPr>
                <w:color w:val="002DB2"/>
                <w:sz w:val="24"/>
                <w:szCs w:val="24"/>
              </w:rPr>
            </w:pPr>
            <w:fldSimple w:instr=" DOCPROPERTY  prp_hact_ppc  \* MERGEFORMAT ">
              <w:r w:rsidR="00A67ED2">
                <w:rPr>
                  <w:color w:val="002DB2"/>
                  <w:sz w:val="24"/>
                  <w:szCs w:val="24"/>
                </w:rPr>
                <w:t>545</w:t>
              </w:r>
            </w:fldSimple>
          </w:p>
        </w:tc>
      </w:tr>
      <w:tr w:rsidR="00A67ED2" w:rsidRPr="00794259" w:rsidTr="00310DAB">
        <w:trPr>
          <w:trHeight w:val="243"/>
        </w:trPr>
        <w:tc>
          <w:tcPr>
            <w:tcW w:w="2861" w:type="dxa"/>
            <w:tcBorders>
              <w:top w:val="single" w:sz="4" w:space="0" w:color="002DB2"/>
              <w:left w:val="single" w:sz="4" w:space="0" w:color="002DB2"/>
              <w:bottom w:val="single" w:sz="4" w:space="0" w:color="auto"/>
              <w:right w:val="single" w:sz="4" w:space="0" w:color="002DB2"/>
            </w:tcBorders>
            <w:shd w:val="clear" w:color="auto" w:fill="002DB2"/>
            <w:vAlign w:val="center"/>
          </w:tcPr>
          <w:p w:rsidR="00A67ED2" w:rsidRPr="00794259" w:rsidRDefault="0081561A" w:rsidP="00D65BB0">
            <w:pPr>
              <w:pStyle w:val="ocsinumberingparagraphs"/>
              <w:spacing w:before="0" w:after="0" w:line="200" w:lineRule="exact"/>
              <w:jc w:val="center"/>
              <w:rPr>
                <w:color w:val="FFFFFF"/>
                <w:sz w:val="14"/>
                <w:szCs w:val="16"/>
              </w:rPr>
            </w:pPr>
            <w:fldSimple w:instr=" DOCPROPERTY  prp_hact_pensioncar_comp  \* MERGEFORMAT ">
              <w:r w:rsidR="00A67ED2">
                <w:rPr>
                  <w:color w:val="FFFFFF"/>
                  <w:sz w:val="14"/>
                  <w:szCs w:val="16"/>
                </w:rPr>
                <w:t>66.0% of pensioner households (London average = 54.7%)</w:t>
              </w:r>
            </w:fldSimple>
          </w:p>
        </w:tc>
        <w:tc>
          <w:tcPr>
            <w:tcW w:w="284" w:type="dxa"/>
            <w:tcBorders>
              <w:left w:val="single" w:sz="4" w:space="0" w:color="002DB2"/>
              <w:bottom w:val="single" w:sz="4" w:space="0" w:color="auto"/>
              <w:right w:val="single" w:sz="4" w:space="0" w:color="002DB2"/>
            </w:tcBorders>
            <w:shd w:val="clear" w:color="auto" w:fill="auto"/>
            <w:vAlign w:val="center"/>
          </w:tcPr>
          <w:p w:rsidR="00A67ED2" w:rsidRPr="00794259" w:rsidRDefault="00A67ED2" w:rsidP="00D65BB0">
            <w:pPr>
              <w:pStyle w:val="ocsinumberingparagraphs"/>
              <w:spacing w:before="0" w:after="0" w:line="200" w:lineRule="exact"/>
              <w:jc w:val="center"/>
              <w:rPr>
                <w:color w:val="FFFFFF"/>
                <w:sz w:val="14"/>
                <w:szCs w:val="16"/>
              </w:rPr>
            </w:pPr>
          </w:p>
        </w:tc>
        <w:tc>
          <w:tcPr>
            <w:tcW w:w="2410" w:type="dxa"/>
            <w:tcBorders>
              <w:top w:val="single" w:sz="4" w:space="0" w:color="002DB2"/>
              <w:left w:val="single" w:sz="4" w:space="0" w:color="002DB2"/>
              <w:bottom w:val="single" w:sz="4" w:space="0" w:color="auto"/>
              <w:right w:val="single" w:sz="4" w:space="0" w:color="002DB2"/>
            </w:tcBorders>
            <w:shd w:val="clear" w:color="auto" w:fill="002DB2"/>
            <w:vAlign w:val="center"/>
          </w:tcPr>
          <w:p w:rsidR="00A67ED2" w:rsidRPr="00794259" w:rsidRDefault="0081561A" w:rsidP="00D65BB0">
            <w:pPr>
              <w:pStyle w:val="ocsinumberingparagraphs"/>
              <w:spacing w:before="0" w:after="0" w:line="200" w:lineRule="exact"/>
              <w:jc w:val="center"/>
              <w:rPr>
                <w:color w:val="FFFFFF"/>
                <w:sz w:val="14"/>
                <w:szCs w:val="16"/>
              </w:rPr>
            </w:pPr>
            <w:fldSimple w:instr=" DOCPROPERTY  prp_hact_onepensioner_comp  \* MERGEFORMAT ">
              <w:r w:rsidR="00A67ED2">
                <w:rPr>
                  <w:color w:val="FFFFFF"/>
                  <w:sz w:val="14"/>
                  <w:szCs w:val="16"/>
                </w:rPr>
                <w:t>81.4% of pensioner households (London average = 68.6%)</w:t>
              </w:r>
            </w:fldSimple>
          </w:p>
        </w:tc>
        <w:tc>
          <w:tcPr>
            <w:tcW w:w="236" w:type="dxa"/>
            <w:tcBorders>
              <w:left w:val="single" w:sz="4" w:space="0" w:color="002DB2"/>
              <w:bottom w:val="single" w:sz="4" w:space="0" w:color="auto"/>
              <w:right w:val="single" w:sz="4" w:space="0" w:color="002DB2"/>
            </w:tcBorders>
            <w:shd w:val="clear" w:color="auto" w:fill="auto"/>
            <w:vAlign w:val="center"/>
          </w:tcPr>
          <w:p w:rsidR="00A67ED2" w:rsidRPr="00794259" w:rsidRDefault="00A67ED2" w:rsidP="00D65BB0">
            <w:pPr>
              <w:pStyle w:val="ocsinumberingparagraphs"/>
              <w:spacing w:before="0" w:after="0" w:line="200" w:lineRule="exact"/>
              <w:jc w:val="center"/>
              <w:rPr>
                <w:color w:val="FFFFFF"/>
                <w:sz w:val="14"/>
                <w:szCs w:val="16"/>
              </w:rPr>
            </w:pPr>
          </w:p>
        </w:tc>
        <w:tc>
          <w:tcPr>
            <w:tcW w:w="2842" w:type="dxa"/>
            <w:tcBorders>
              <w:top w:val="single" w:sz="4" w:space="0" w:color="002DB2"/>
              <w:left w:val="single" w:sz="4" w:space="0" w:color="002DB2"/>
              <w:bottom w:val="single" w:sz="4" w:space="0" w:color="auto"/>
              <w:right w:val="single" w:sz="4" w:space="0" w:color="002DB2"/>
            </w:tcBorders>
            <w:shd w:val="clear" w:color="auto" w:fill="002DB2"/>
            <w:vAlign w:val="center"/>
          </w:tcPr>
          <w:p w:rsidR="00A67ED2" w:rsidRPr="00794259" w:rsidRDefault="0081561A" w:rsidP="00D65BB0">
            <w:pPr>
              <w:pStyle w:val="ocsinumberingparagraphs"/>
              <w:spacing w:before="0" w:after="0" w:line="200" w:lineRule="exact"/>
              <w:jc w:val="center"/>
              <w:rPr>
                <w:color w:val="FFFFFF"/>
                <w:sz w:val="14"/>
                <w:szCs w:val="16"/>
              </w:rPr>
            </w:pPr>
            <w:fldSimple w:instr=" DOCPROPERTY  prp_hact_ppc_comp  \* MERGEFORMAT ">
              <w:r w:rsidR="00A67ED2">
                <w:rPr>
                  <w:color w:val="FFFFFF"/>
                  <w:sz w:val="14"/>
                  <w:szCs w:val="16"/>
                </w:rPr>
                <w:t>37.2% (London average = 20.3%)</w:t>
              </w:r>
            </w:fldSimple>
          </w:p>
        </w:tc>
      </w:tr>
    </w:tbl>
    <w:p w:rsidR="00A67ED2" w:rsidRDefault="00A67ED2" w:rsidP="00A25B01">
      <w:pPr>
        <w:ind w:left="0"/>
      </w:pPr>
    </w:p>
    <w:p w:rsidR="00310DAB" w:rsidRDefault="00310DAB" w:rsidP="00A25B01">
      <w:pPr>
        <w:ind w:left="0"/>
        <w:rPr>
          <w:b/>
          <w:color w:val="548DD4" w:themeColor="text2" w:themeTint="99"/>
        </w:rPr>
      </w:pPr>
    </w:p>
    <w:p w:rsidR="00310DAB" w:rsidRDefault="00310DAB" w:rsidP="00A25B01">
      <w:pPr>
        <w:ind w:left="0"/>
        <w:rPr>
          <w:b/>
          <w:color w:val="548DD4" w:themeColor="text2" w:themeTint="99"/>
        </w:rPr>
      </w:pPr>
    </w:p>
    <w:p w:rsidR="00310DAB" w:rsidRDefault="00310DAB" w:rsidP="00A25B01">
      <w:pPr>
        <w:ind w:left="0"/>
        <w:rPr>
          <w:b/>
          <w:color w:val="548DD4" w:themeColor="text2" w:themeTint="99"/>
        </w:rPr>
      </w:pPr>
    </w:p>
    <w:p w:rsidR="00310DAB" w:rsidRDefault="00310DAB" w:rsidP="00A25B01">
      <w:pPr>
        <w:ind w:left="0"/>
        <w:rPr>
          <w:b/>
          <w:color w:val="548DD4" w:themeColor="text2" w:themeTint="99"/>
        </w:rPr>
      </w:pPr>
    </w:p>
    <w:p w:rsidR="00310DAB" w:rsidRPr="008751AC" w:rsidRDefault="00310DAB" w:rsidP="00310DAB">
      <w:pPr>
        <w:ind w:left="0"/>
        <w:rPr>
          <w:b/>
          <w:color w:val="548DD4" w:themeColor="text2" w:themeTint="99"/>
        </w:rPr>
      </w:pPr>
      <w:r w:rsidRPr="008751AC">
        <w:rPr>
          <w:b/>
          <w:color w:val="548DD4" w:themeColor="text2" w:themeTint="99"/>
        </w:rPr>
        <w:lastRenderedPageBreak/>
        <w:t>Overcrowding</w:t>
      </w:r>
    </w:p>
    <w:p w:rsidR="00310DAB" w:rsidRDefault="00310DAB" w:rsidP="00A25B01">
      <w:pPr>
        <w:ind w:left="0"/>
        <w:rPr>
          <w:b/>
          <w:color w:val="548DD4" w:themeColor="text2" w:themeTint="99"/>
        </w:rPr>
      </w:pPr>
    </w:p>
    <w:p w:rsidR="00310DAB" w:rsidRDefault="00310DAB" w:rsidP="00A25B01">
      <w:pPr>
        <w:ind w:left="0"/>
        <w:rPr>
          <w:b/>
          <w:color w:val="548DD4" w:themeColor="text2" w:themeTint="99"/>
        </w:rPr>
      </w:pPr>
    </w:p>
    <w:p w:rsidR="00A67ED2" w:rsidRDefault="00A67ED2" w:rsidP="00A25B01">
      <w:pPr>
        <w:ind w:left="0"/>
      </w:pPr>
    </w:p>
    <w:p w:rsidR="00CA2DBC" w:rsidRDefault="00310DAB" w:rsidP="00A25B01">
      <w:pPr>
        <w:ind w:left="0"/>
      </w:pPr>
      <w:r>
        <w:rPr>
          <w:noProof/>
          <w:lang w:eastAsia="en-GB"/>
        </w:rPr>
        <w:drawing>
          <wp:anchor distT="0" distB="0" distL="114300" distR="114300" simplePos="0" relativeHeight="251661312" behindDoc="1" locked="0" layoutInCell="1" allowOverlap="1">
            <wp:simplePos x="0" y="0"/>
            <wp:positionH relativeFrom="column">
              <wp:posOffset>47625</wp:posOffset>
            </wp:positionH>
            <wp:positionV relativeFrom="paragraph">
              <wp:posOffset>-524510</wp:posOffset>
            </wp:positionV>
            <wp:extent cx="4676775" cy="1647825"/>
            <wp:effectExtent l="19050" t="0" r="9525" b="0"/>
            <wp:wrapTight wrapText="bothSides">
              <wp:wrapPolygon edited="0">
                <wp:start x="-88" y="0"/>
                <wp:lineTo x="-88" y="21475"/>
                <wp:lineTo x="21644" y="21475"/>
                <wp:lineTo x="21644" y="0"/>
                <wp:lineTo x="-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676775" cy="1647825"/>
                    </a:xfrm>
                    <a:prstGeom prst="rect">
                      <a:avLst/>
                    </a:prstGeom>
                    <a:noFill/>
                  </pic:spPr>
                </pic:pic>
              </a:graphicData>
            </a:graphic>
          </wp:anchor>
        </w:drawing>
      </w:r>
    </w:p>
    <w:p w:rsidR="00CA2DBC" w:rsidRDefault="00CA2DBC" w:rsidP="00A25B01">
      <w:pPr>
        <w:ind w:left="0"/>
      </w:pPr>
    </w:p>
    <w:p w:rsidR="00CA2DBC" w:rsidRDefault="00CA2DBC" w:rsidP="00A25B01">
      <w:pPr>
        <w:ind w:left="0"/>
      </w:pPr>
    </w:p>
    <w:p w:rsidR="00CA2DBC" w:rsidRDefault="00CA2DBC" w:rsidP="00A25B01">
      <w:pPr>
        <w:ind w:left="0"/>
      </w:pPr>
    </w:p>
    <w:p w:rsidR="00CA2DBC" w:rsidRDefault="00CA2DBC" w:rsidP="00A25B01">
      <w:pPr>
        <w:ind w:left="0"/>
      </w:pPr>
    </w:p>
    <w:p w:rsidR="00CA2DBC" w:rsidRPr="008751AC" w:rsidRDefault="00CA2DBC" w:rsidP="00A25B01">
      <w:pPr>
        <w:ind w:left="0"/>
        <w:rPr>
          <w:b/>
          <w:color w:val="548DD4" w:themeColor="text2" w:themeTint="99"/>
        </w:rPr>
      </w:pPr>
      <w:r w:rsidRPr="008751AC">
        <w:rPr>
          <w:b/>
          <w:color w:val="548DD4" w:themeColor="text2" w:themeTint="99"/>
        </w:rPr>
        <w:t>Mortality</w:t>
      </w:r>
    </w:p>
    <w:p w:rsidR="00CA2DBC" w:rsidRDefault="00CA2DBC" w:rsidP="00A25B01">
      <w:pPr>
        <w:ind w:left="0"/>
      </w:pPr>
    </w:p>
    <w:p w:rsidR="00CA2DBC" w:rsidRDefault="00CA2DBC" w:rsidP="00A25B01">
      <w:pPr>
        <w:ind w:left="0"/>
      </w:pPr>
    </w:p>
    <w:p w:rsidR="00CA2DBC" w:rsidRDefault="00CA2DBC" w:rsidP="00A25B01">
      <w:pPr>
        <w:ind w:left="0"/>
      </w:pPr>
    </w:p>
    <w:p w:rsidR="00CA2DBC" w:rsidRDefault="00CA2DBC" w:rsidP="00A25B01">
      <w:pPr>
        <w:ind w:left="0"/>
      </w:pPr>
    </w:p>
    <w:p w:rsidR="00CA2DBC" w:rsidRDefault="00CA2DBC" w:rsidP="00A25B01">
      <w:pPr>
        <w:ind w:left="0"/>
      </w:pPr>
      <w:r>
        <w:rPr>
          <w:noProof/>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-868045</wp:posOffset>
            </wp:positionV>
            <wp:extent cx="4381500" cy="2305050"/>
            <wp:effectExtent l="19050" t="0" r="0" b="0"/>
            <wp:wrapTight wrapText="bothSides">
              <wp:wrapPolygon edited="0">
                <wp:start x="-94" y="0"/>
                <wp:lineTo x="-94" y="21421"/>
                <wp:lineTo x="21600" y="21421"/>
                <wp:lineTo x="21600" y="0"/>
                <wp:lineTo x="-9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381500" cy="2305050"/>
                    </a:xfrm>
                    <a:prstGeom prst="rect">
                      <a:avLst/>
                    </a:prstGeom>
                    <a:noFill/>
                  </pic:spPr>
                </pic:pic>
              </a:graphicData>
            </a:graphic>
          </wp:anchor>
        </w:drawing>
      </w:r>
    </w:p>
    <w:p w:rsidR="00CA2DBC" w:rsidRDefault="00CA2DBC" w:rsidP="00A25B01">
      <w:pPr>
        <w:ind w:left="0"/>
      </w:pPr>
    </w:p>
    <w:p w:rsidR="00CA2DBC" w:rsidRDefault="00CA2DBC" w:rsidP="00A25B01">
      <w:pPr>
        <w:ind w:left="0"/>
      </w:pPr>
    </w:p>
    <w:p w:rsidR="00CA2DBC" w:rsidRDefault="00CA2DBC" w:rsidP="00A25B01">
      <w:pPr>
        <w:ind w:left="0"/>
      </w:pPr>
    </w:p>
    <w:p w:rsidR="00CA2DBC" w:rsidRDefault="00CA2DBC" w:rsidP="00A25B01">
      <w:pPr>
        <w:ind w:left="0"/>
      </w:pPr>
    </w:p>
    <w:p w:rsidR="00CA2DBC" w:rsidRDefault="00CA2DBC" w:rsidP="00A25B01">
      <w:pPr>
        <w:ind w:left="0"/>
      </w:pPr>
    </w:p>
    <w:p w:rsidR="00CA2DBC" w:rsidRPr="008751AC" w:rsidRDefault="00CA2DBC" w:rsidP="00A25B01">
      <w:pPr>
        <w:ind w:left="0"/>
        <w:rPr>
          <w:b/>
          <w:color w:val="548DD4" w:themeColor="text2" w:themeTint="99"/>
        </w:rPr>
      </w:pPr>
      <w:r w:rsidRPr="008751AC">
        <w:rPr>
          <w:b/>
          <w:color w:val="548DD4" w:themeColor="text2" w:themeTint="99"/>
        </w:rPr>
        <w:t>Neighbourhood Satisfaction and Participation</w:t>
      </w:r>
    </w:p>
    <w:p w:rsidR="00CA2DBC" w:rsidRDefault="00CA2DBC" w:rsidP="00A25B01">
      <w:pPr>
        <w:ind w:left="0"/>
      </w:pPr>
    </w:p>
    <w:tbl>
      <w:tblPr>
        <w:tblW w:w="8309" w:type="dxa"/>
        <w:jc w:val="center"/>
        <w:tblLayout w:type="fixed"/>
        <w:tblLook w:val="04A0"/>
      </w:tblPr>
      <w:tblGrid>
        <w:gridCol w:w="1995"/>
        <w:gridCol w:w="284"/>
        <w:gridCol w:w="1701"/>
        <w:gridCol w:w="236"/>
        <w:gridCol w:w="1905"/>
        <w:gridCol w:w="283"/>
        <w:gridCol w:w="1905"/>
      </w:tblGrid>
      <w:tr w:rsidR="00CA2DBC" w:rsidRPr="006873B0" w:rsidTr="00D65BB0">
        <w:trPr>
          <w:jc w:val="center"/>
        </w:trPr>
        <w:tc>
          <w:tcPr>
            <w:tcW w:w="199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“People from different backgrounds get on well together in the local area”</w:t>
            </w:r>
          </w:p>
        </w:tc>
        <w:tc>
          <w:tcPr>
            <w:tcW w:w="284" w:type="dxa"/>
            <w:tcBorders>
              <w:left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p>
        </w:tc>
        <w:tc>
          <w:tcPr>
            <w:tcW w:w="1701"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People who feel that they belong to their neighbourhood</w:t>
            </w:r>
          </w:p>
        </w:tc>
        <w:tc>
          <w:tcPr>
            <w:tcW w:w="236" w:type="dxa"/>
            <w:tcBorders>
              <w:left w:val="single" w:sz="4" w:space="0" w:color="002DB2"/>
              <w:right w:val="single" w:sz="4" w:space="0" w:color="002DB2"/>
            </w:tcBorders>
            <w:shd w:val="clear" w:color="auto" w:fill="auto"/>
            <w:vAlign w:val="center"/>
          </w:tcPr>
          <w:p w:rsidR="00CA2DBC" w:rsidRPr="006873B0" w:rsidRDefault="00CA2DBC" w:rsidP="00D65BB0">
            <w:pPr>
              <w:pStyle w:val="ocsinumberingparagraphs"/>
              <w:spacing w:before="0" w:after="0" w:line="200" w:lineRule="exact"/>
              <w:jc w:val="center"/>
              <w:rPr>
                <w:color w:val="002DB2"/>
                <w:sz w:val="16"/>
                <w:szCs w:val="16"/>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People who are satisfied with local area as a place to live</w:t>
            </w:r>
          </w:p>
        </w:tc>
        <w:tc>
          <w:tcPr>
            <w:tcW w:w="283" w:type="dxa"/>
            <w:tcBorders>
              <w:left w:val="single" w:sz="4" w:space="0" w:color="002DB2"/>
              <w:right w:val="single" w:sz="4" w:space="0" w:color="002DB2"/>
            </w:tcBorders>
            <w:shd w:val="clear" w:color="auto" w:fill="auto"/>
            <w:vAlign w:val="center"/>
          </w:tcPr>
          <w:p w:rsidR="00CA2DBC" w:rsidRPr="006873B0" w:rsidRDefault="00CA2DBC" w:rsidP="00D65BB0">
            <w:pPr>
              <w:pStyle w:val="ocsinumberingparagraphs"/>
              <w:spacing w:before="0" w:after="0" w:line="200" w:lineRule="exact"/>
              <w:jc w:val="center"/>
              <w:rPr>
                <w:color w:val="002DB2"/>
                <w:sz w:val="16"/>
                <w:szCs w:val="16"/>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Aged 65+ "satisfied with both home and neighbourhood"</w:t>
            </w:r>
          </w:p>
        </w:tc>
      </w:tr>
      <w:tr w:rsidR="00CA2DBC" w:rsidRPr="00710284" w:rsidTr="00D65BB0">
        <w:trPr>
          <w:jc w:val="center"/>
        </w:trPr>
        <w:tc>
          <w:tcPr>
            <w:tcW w:w="199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comm_backgrounds  \* MERGEFORMAT ">
              <w:r w:rsidR="00CA2DBC">
                <w:rPr>
                  <w:color w:val="002DB2"/>
                  <w:sz w:val="24"/>
                  <w:szCs w:val="24"/>
                </w:rPr>
                <w:t>79</w:t>
              </w:r>
              <w:r w:rsidR="00CA2DBC" w:rsidRPr="00710284">
                <w:rPr>
                  <w:color w:val="002DB2"/>
                  <w:sz w:val="24"/>
                  <w:szCs w:val="24"/>
                </w:rPr>
                <w:t>%</w:t>
              </w:r>
            </w:fldSimple>
          </w:p>
        </w:tc>
        <w:tc>
          <w:tcPr>
            <w:tcW w:w="284" w:type="dxa"/>
            <w:tcBorders>
              <w:left w:val="single" w:sz="4" w:space="0" w:color="002DB2"/>
              <w:right w:val="single" w:sz="4" w:space="0" w:color="002DB2"/>
            </w:tcBorders>
            <w:shd w:val="clear" w:color="auto" w:fill="FFFFFF"/>
            <w:vAlign w:val="center"/>
          </w:tcPr>
          <w:p w:rsidR="00CA2DBC" w:rsidRPr="00710284" w:rsidRDefault="00CA2DBC" w:rsidP="00D65BB0">
            <w:pPr>
              <w:pStyle w:val="ocsinumberingparagraphs"/>
              <w:spacing w:before="0" w:after="0" w:line="460" w:lineRule="exact"/>
              <w:jc w:val="center"/>
              <w:rPr>
                <w:color w:val="002DB2"/>
                <w:sz w:val="24"/>
                <w:szCs w:val="24"/>
              </w:rPr>
            </w:pPr>
          </w:p>
        </w:tc>
        <w:tc>
          <w:tcPr>
            <w:tcW w:w="1701"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comm_belong  \* MERGEFORMAT ">
              <w:r w:rsidR="00CA2DBC">
                <w:rPr>
                  <w:color w:val="002DB2"/>
                  <w:sz w:val="24"/>
                  <w:szCs w:val="24"/>
                </w:rPr>
                <w:t>49</w:t>
              </w:r>
              <w:r w:rsidR="00CA2DBC" w:rsidRPr="00710284">
                <w:rPr>
                  <w:color w:val="002DB2"/>
                  <w:sz w:val="24"/>
                  <w:szCs w:val="24"/>
                </w:rPr>
                <w:t>%</w:t>
              </w:r>
            </w:fldSimple>
          </w:p>
        </w:tc>
        <w:tc>
          <w:tcPr>
            <w:tcW w:w="236" w:type="dxa"/>
            <w:tcBorders>
              <w:left w:val="single" w:sz="4" w:space="0" w:color="002DB2"/>
              <w:right w:val="single" w:sz="4" w:space="0" w:color="002DB2"/>
            </w:tcBorders>
            <w:shd w:val="clear" w:color="auto" w:fill="auto"/>
            <w:vAlign w:val="center"/>
          </w:tcPr>
          <w:p w:rsidR="00CA2DBC" w:rsidRPr="00710284" w:rsidRDefault="00CA2DBC" w:rsidP="00D65BB0">
            <w:pPr>
              <w:pStyle w:val="ocsinumberingparagraphs"/>
              <w:spacing w:before="0" w:after="0" w:line="460" w:lineRule="exact"/>
              <w:jc w:val="center"/>
              <w:rPr>
                <w:color w:val="002DB2"/>
                <w:sz w:val="24"/>
                <w:szCs w:val="24"/>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comm_satarea  \* MERGEFORMAT ">
              <w:r w:rsidR="00CA2DBC">
                <w:rPr>
                  <w:color w:val="002DB2"/>
                  <w:sz w:val="24"/>
                  <w:szCs w:val="24"/>
                </w:rPr>
                <w:t>85%</w:t>
              </w:r>
            </w:fldSimple>
          </w:p>
        </w:tc>
        <w:tc>
          <w:tcPr>
            <w:tcW w:w="283" w:type="dxa"/>
            <w:tcBorders>
              <w:left w:val="single" w:sz="4" w:space="0" w:color="002DB2"/>
              <w:right w:val="single" w:sz="4" w:space="0" w:color="002DB2"/>
            </w:tcBorders>
            <w:shd w:val="clear" w:color="auto" w:fill="auto"/>
            <w:vAlign w:val="center"/>
          </w:tcPr>
          <w:p w:rsidR="00CA2DBC" w:rsidRPr="00710284" w:rsidRDefault="00CA2DBC" w:rsidP="00D65BB0">
            <w:pPr>
              <w:pStyle w:val="ocsinumberingparagraphs"/>
              <w:spacing w:before="0" w:after="0" w:line="460" w:lineRule="exact"/>
              <w:jc w:val="center"/>
              <w:rPr>
                <w:color w:val="002DB2"/>
                <w:sz w:val="24"/>
                <w:szCs w:val="24"/>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comm_sport  \* MERGEFORMAT ">
              <w:r w:rsidR="00CA2DBC">
                <w:rPr>
                  <w:color w:val="002DB2"/>
                  <w:sz w:val="24"/>
                  <w:szCs w:val="24"/>
                </w:rPr>
                <w:t>86</w:t>
              </w:r>
              <w:r w:rsidR="00CA2DBC" w:rsidRPr="00710284">
                <w:rPr>
                  <w:color w:val="002DB2"/>
                  <w:sz w:val="24"/>
                  <w:szCs w:val="24"/>
                </w:rPr>
                <w:t>%</w:t>
              </w:r>
            </w:fldSimple>
          </w:p>
        </w:tc>
      </w:tr>
      <w:tr w:rsidR="00CA2DBC" w:rsidRPr="00794259" w:rsidTr="00D65BB0">
        <w:trPr>
          <w:jc w:val="center"/>
        </w:trPr>
        <w:tc>
          <w:tcPr>
            <w:tcW w:w="1995"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comm_backgrounds_nat  \* MERGEFORMAT ">
              <w:r w:rsidR="00CA2DBC">
                <w:rPr>
                  <w:color w:val="FFFFFF"/>
                  <w:sz w:val="14"/>
                  <w:szCs w:val="16"/>
                </w:rPr>
                <w:t xml:space="preserve"> (London = 76%)</w:t>
              </w:r>
            </w:fldSimple>
          </w:p>
        </w:tc>
        <w:tc>
          <w:tcPr>
            <w:tcW w:w="284" w:type="dxa"/>
            <w:tcBorders>
              <w:left w:val="single" w:sz="4" w:space="0" w:color="002DB2"/>
              <w:right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701"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comm_belong_nat  \* MERGEFORMAT ">
              <w:r w:rsidR="00CA2DBC">
                <w:rPr>
                  <w:color w:val="FFFFFF"/>
                  <w:sz w:val="14"/>
                  <w:szCs w:val="16"/>
                </w:rPr>
                <w:t xml:space="preserve"> (London = 52%)</w:t>
              </w:r>
            </w:fldSimple>
          </w:p>
        </w:tc>
        <w:tc>
          <w:tcPr>
            <w:tcW w:w="236" w:type="dxa"/>
            <w:tcBorders>
              <w:left w:val="single" w:sz="4" w:space="0" w:color="002DB2"/>
              <w:right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905" w:type="dxa"/>
            <w:tcBorders>
              <w:top w:val="single" w:sz="4" w:space="0" w:color="002DB2"/>
              <w:left w:val="single" w:sz="4" w:space="0" w:color="002DB2"/>
              <w:bottom w:val="single" w:sz="4" w:space="0" w:color="002DB2"/>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comm_satarea_nat  \* MERGEFORMAT ">
              <w:r w:rsidR="00CA2DBC">
                <w:rPr>
                  <w:color w:val="FFFFFF"/>
                  <w:sz w:val="14"/>
                  <w:szCs w:val="16"/>
                </w:rPr>
                <w:t xml:space="preserve"> (London = 74%)</w:t>
              </w:r>
            </w:fldSimple>
          </w:p>
        </w:tc>
        <w:tc>
          <w:tcPr>
            <w:tcW w:w="283" w:type="dxa"/>
            <w:tcBorders>
              <w:left w:val="single" w:sz="4" w:space="0" w:color="002DB2"/>
              <w:right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905" w:type="dxa"/>
            <w:tcBorders>
              <w:top w:val="single" w:sz="4" w:space="0" w:color="002DB2"/>
              <w:left w:val="single" w:sz="4" w:space="0" w:color="002DB2"/>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comm_sport_nat  \* MERGEFORMAT ">
              <w:r w:rsidR="00CA2DBC">
                <w:rPr>
                  <w:color w:val="FFFFFF"/>
                  <w:sz w:val="14"/>
                  <w:szCs w:val="16"/>
                </w:rPr>
                <w:t xml:space="preserve"> (London = 76%)</w:t>
              </w:r>
            </w:fldSimple>
          </w:p>
        </w:tc>
      </w:tr>
      <w:tr w:rsidR="00CA2DBC" w:rsidRPr="00794259" w:rsidTr="00D65BB0">
        <w:trPr>
          <w:jc w:val="center"/>
        </w:trPr>
        <w:tc>
          <w:tcPr>
            <w:tcW w:w="1995" w:type="dxa"/>
            <w:tcBorders>
              <w:top w:val="single" w:sz="4" w:space="0" w:color="002DB2"/>
              <w:bottom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284" w:type="dxa"/>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701" w:type="dxa"/>
            <w:tcBorders>
              <w:top w:val="single" w:sz="4" w:space="0" w:color="002DB2"/>
              <w:bottom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236" w:type="dxa"/>
            <w:shd w:val="clear" w:color="auto" w:fill="auto"/>
          </w:tcPr>
          <w:p w:rsidR="00CA2DBC" w:rsidRPr="00794259" w:rsidRDefault="00CA2DBC" w:rsidP="00D65BB0">
            <w:pPr>
              <w:pStyle w:val="ocsinumberingparagraphs"/>
              <w:spacing w:before="0" w:after="0" w:line="200" w:lineRule="exact"/>
              <w:jc w:val="center"/>
              <w:rPr>
                <w:color w:val="FFFFFF"/>
                <w:sz w:val="14"/>
                <w:szCs w:val="16"/>
              </w:rPr>
            </w:pPr>
          </w:p>
        </w:tc>
        <w:tc>
          <w:tcPr>
            <w:tcW w:w="1905" w:type="dxa"/>
            <w:tcBorders>
              <w:top w:val="single" w:sz="4" w:space="0" w:color="002DB2"/>
              <w:bottom w:val="single" w:sz="4" w:space="0" w:color="002DB2"/>
            </w:tcBorders>
            <w:shd w:val="clear" w:color="auto" w:fill="auto"/>
          </w:tcPr>
          <w:p w:rsidR="00CA2DBC" w:rsidRPr="00794259" w:rsidRDefault="00CA2DBC" w:rsidP="00D65BB0">
            <w:pPr>
              <w:pStyle w:val="ocsinumberingparagraphs"/>
              <w:spacing w:before="0" w:after="0" w:line="200" w:lineRule="exact"/>
              <w:jc w:val="center"/>
              <w:rPr>
                <w:color w:val="FFFFFF"/>
                <w:sz w:val="14"/>
                <w:szCs w:val="16"/>
              </w:rPr>
            </w:pPr>
          </w:p>
        </w:tc>
        <w:tc>
          <w:tcPr>
            <w:tcW w:w="283" w:type="dxa"/>
            <w:shd w:val="clear" w:color="auto" w:fill="auto"/>
          </w:tcPr>
          <w:p w:rsidR="00CA2DBC" w:rsidRPr="00794259" w:rsidRDefault="00CA2DBC" w:rsidP="00D65BB0">
            <w:pPr>
              <w:pStyle w:val="ocsinumberingparagraphs"/>
              <w:spacing w:before="0" w:after="0" w:line="200" w:lineRule="exact"/>
              <w:jc w:val="center"/>
              <w:rPr>
                <w:color w:val="FFFFFF"/>
                <w:sz w:val="14"/>
                <w:szCs w:val="16"/>
              </w:rPr>
            </w:pPr>
          </w:p>
        </w:tc>
        <w:tc>
          <w:tcPr>
            <w:tcW w:w="1905" w:type="dxa"/>
            <w:shd w:val="clear" w:color="auto" w:fill="auto"/>
          </w:tcPr>
          <w:p w:rsidR="00CA2DBC" w:rsidRPr="00794259" w:rsidRDefault="00CA2DBC" w:rsidP="00D65BB0">
            <w:pPr>
              <w:pStyle w:val="ocsinumberingparagraphs"/>
              <w:spacing w:before="0" w:after="0" w:line="200" w:lineRule="exact"/>
              <w:jc w:val="center"/>
              <w:rPr>
                <w:color w:val="FFFFFF"/>
                <w:sz w:val="14"/>
                <w:szCs w:val="16"/>
              </w:rPr>
            </w:pPr>
          </w:p>
        </w:tc>
      </w:tr>
      <w:tr w:rsidR="00CA2DBC" w:rsidRPr="006873B0" w:rsidTr="00D65BB0">
        <w:trPr>
          <w:jc w:val="center"/>
        </w:trPr>
        <w:tc>
          <w:tcPr>
            <w:tcW w:w="199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People involved in decisions that affect the local area in the past 12 months</w:t>
            </w:r>
          </w:p>
        </w:tc>
        <w:tc>
          <w:tcPr>
            <w:tcW w:w="284" w:type="dxa"/>
            <w:tcBorders>
              <w:left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p>
        </w:tc>
        <w:tc>
          <w:tcPr>
            <w:tcW w:w="1701"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People who believe they can influence decisions in their local area</w:t>
            </w:r>
          </w:p>
        </w:tc>
        <w:tc>
          <w:tcPr>
            <w:tcW w:w="236" w:type="dxa"/>
            <w:tcBorders>
              <w:left w:val="single" w:sz="4" w:space="0" w:color="002DB2"/>
              <w:right w:val="single" w:sz="4" w:space="0" w:color="002DB2"/>
            </w:tcBorders>
            <w:shd w:val="clear" w:color="auto" w:fill="auto"/>
            <w:vAlign w:val="center"/>
          </w:tcPr>
          <w:p w:rsidR="00CA2DBC" w:rsidRPr="006873B0" w:rsidRDefault="00CA2DBC" w:rsidP="00D65BB0">
            <w:pPr>
              <w:pStyle w:val="ocsinumberingparagraphs"/>
              <w:spacing w:before="0" w:after="0" w:line="200" w:lineRule="exact"/>
              <w:jc w:val="center"/>
              <w:rPr>
                <w:color w:val="002DB2"/>
                <w:sz w:val="16"/>
                <w:szCs w:val="16"/>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People who have given unpaid help at least once per month over the last 12 months</w:t>
            </w:r>
          </w:p>
        </w:tc>
        <w:tc>
          <w:tcPr>
            <w:tcW w:w="283" w:type="dxa"/>
            <w:tcBorders>
              <w:left w:val="single" w:sz="4" w:space="0" w:color="002DB2"/>
              <w:right w:val="single" w:sz="4" w:space="0" w:color="002DB2"/>
            </w:tcBorders>
            <w:shd w:val="clear" w:color="auto" w:fill="auto"/>
            <w:vAlign w:val="center"/>
          </w:tcPr>
          <w:p w:rsidR="00CA2DBC" w:rsidRPr="006873B0" w:rsidRDefault="00CA2DBC" w:rsidP="00D65BB0">
            <w:pPr>
              <w:pStyle w:val="ocsinumberingparagraphs"/>
              <w:spacing w:before="0" w:after="0" w:line="200" w:lineRule="exact"/>
              <w:jc w:val="center"/>
              <w:rPr>
                <w:color w:val="002DB2"/>
                <w:sz w:val="16"/>
                <w:szCs w:val="16"/>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6873B0" w:rsidRDefault="00CA2DBC" w:rsidP="00D65BB0">
            <w:pPr>
              <w:pStyle w:val="ocsinumberingparagraphs"/>
              <w:spacing w:before="0" w:after="0" w:line="200" w:lineRule="exact"/>
              <w:jc w:val="center"/>
              <w:rPr>
                <w:color w:val="002DB2"/>
                <w:sz w:val="16"/>
                <w:szCs w:val="16"/>
              </w:rPr>
            </w:pPr>
            <w:r w:rsidRPr="006873B0">
              <w:rPr>
                <w:color w:val="002DB2"/>
                <w:sz w:val="16"/>
                <w:szCs w:val="16"/>
              </w:rPr>
              <w:t>Active charities</w:t>
            </w:r>
          </w:p>
        </w:tc>
      </w:tr>
      <w:tr w:rsidR="00CA2DBC" w:rsidRPr="00BD4446" w:rsidTr="00D65BB0">
        <w:trPr>
          <w:trHeight w:val="380"/>
          <w:jc w:val="center"/>
        </w:trPr>
        <w:tc>
          <w:tcPr>
            <w:tcW w:w="199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place_inv  \* MERGEFORMAT ">
              <w:r w:rsidR="00CA2DBC">
                <w:rPr>
                  <w:color w:val="002DB2"/>
                  <w:sz w:val="24"/>
                  <w:szCs w:val="24"/>
                </w:rPr>
                <w:t>14%</w:t>
              </w:r>
            </w:fldSimple>
          </w:p>
        </w:tc>
        <w:tc>
          <w:tcPr>
            <w:tcW w:w="284" w:type="dxa"/>
            <w:tcBorders>
              <w:left w:val="single" w:sz="4" w:space="0" w:color="002DB2"/>
              <w:right w:val="single" w:sz="4" w:space="0" w:color="002DB2"/>
            </w:tcBorders>
            <w:shd w:val="clear" w:color="auto" w:fill="FFFFFF"/>
            <w:vAlign w:val="center"/>
          </w:tcPr>
          <w:p w:rsidR="00CA2DBC" w:rsidRPr="00710284" w:rsidRDefault="00CA2DBC" w:rsidP="00D65BB0">
            <w:pPr>
              <w:pStyle w:val="ocsinumberingparagraphs"/>
              <w:spacing w:before="0" w:after="0" w:line="460" w:lineRule="exact"/>
              <w:jc w:val="center"/>
              <w:rPr>
                <w:color w:val="002DB2"/>
                <w:sz w:val="24"/>
                <w:szCs w:val="24"/>
              </w:rPr>
            </w:pPr>
          </w:p>
        </w:tc>
        <w:tc>
          <w:tcPr>
            <w:tcW w:w="1701"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place_infl  \* MERGEFORMAT ">
              <w:r w:rsidR="00CA2DBC">
                <w:rPr>
                  <w:color w:val="002DB2"/>
                  <w:sz w:val="24"/>
                  <w:szCs w:val="24"/>
                </w:rPr>
                <w:t>38%</w:t>
              </w:r>
            </w:fldSimple>
          </w:p>
        </w:tc>
        <w:tc>
          <w:tcPr>
            <w:tcW w:w="236" w:type="dxa"/>
            <w:tcBorders>
              <w:left w:val="single" w:sz="4" w:space="0" w:color="002DB2"/>
              <w:right w:val="single" w:sz="4" w:space="0" w:color="002DB2"/>
            </w:tcBorders>
            <w:shd w:val="clear" w:color="auto" w:fill="auto"/>
            <w:vAlign w:val="center"/>
          </w:tcPr>
          <w:p w:rsidR="00CA2DBC" w:rsidRPr="00710284" w:rsidRDefault="00CA2DBC" w:rsidP="00D65BB0">
            <w:pPr>
              <w:pStyle w:val="ocsinumberingparagraphs"/>
              <w:spacing w:before="0" w:after="0" w:line="460" w:lineRule="exact"/>
              <w:jc w:val="center"/>
              <w:rPr>
                <w:color w:val="002DB2"/>
                <w:sz w:val="24"/>
                <w:szCs w:val="24"/>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710284" w:rsidRDefault="0081561A" w:rsidP="00D65BB0">
            <w:pPr>
              <w:pStyle w:val="ocsinumberingparagraphs"/>
              <w:spacing w:before="0" w:after="0" w:line="460" w:lineRule="exact"/>
              <w:jc w:val="center"/>
              <w:rPr>
                <w:color w:val="002DB2"/>
                <w:sz w:val="24"/>
                <w:szCs w:val="24"/>
              </w:rPr>
            </w:pPr>
            <w:fldSimple w:instr=" DOCPROPERTY  prp_place_vol  \* MERGEFORMAT ">
              <w:r w:rsidR="00CA2DBC">
                <w:rPr>
                  <w:color w:val="002DB2"/>
                  <w:sz w:val="24"/>
                  <w:szCs w:val="24"/>
                </w:rPr>
                <w:t>15%</w:t>
              </w:r>
            </w:fldSimple>
          </w:p>
        </w:tc>
        <w:tc>
          <w:tcPr>
            <w:tcW w:w="283" w:type="dxa"/>
            <w:tcBorders>
              <w:left w:val="single" w:sz="4" w:space="0" w:color="002DB2"/>
              <w:right w:val="single" w:sz="4" w:space="0" w:color="002DB2"/>
            </w:tcBorders>
            <w:shd w:val="clear" w:color="auto" w:fill="auto"/>
            <w:vAlign w:val="center"/>
          </w:tcPr>
          <w:p w:rsidR="00CA2DBC" w:rsidRPr="00BD4446" w:rsidRDefault="00CA2DBC" w:rsidP="00D65BB0">
            <w:pPr>
              <w:pStyle w:val="ocsinumberingparagraphs"/>
              <w:spacing w:before="0" w:after="0" w:line="460" w:lineRule="exact"/>
              <w:jc w:val="center"/>
              <w:rPr>
                <w:color w:val="002DB2"/>
                <w:sz w:val="28"/>
                <w:szCs w:val="28"/>
              </w:rPr>
            </w:pPr>
          </w:p>
        </w:tc>
        <w:tc>
          <w:tcPr>
            <w:tcW w:w="1905" w:type="dxa"/>
            <w:tcBorders>
              <w:top w:val="single" w:sz="4" w:space="0" w:color="002DB2"/>
              <w:left w:val="single" w:sz="4" w:space="0" w:color="002DB2"/>
              <w:bottom w:val="single" w:sz="4" w:space="0" w:color="002DB2"/>
              <w:right w:val="single" w:sz="4" w:space="0" w:color="002DB2"/>
            </w:tcBorders>
            <w:shd w:val="clear" w:color="auto" w:fill="FFFFFF"/>
            <w:vAlign w:val="center"/>
          </w:tcPr>
          <w:p w:rsidR="00CA2DBC" w:rsidRPr="00BD4446" w:rsidRDefault="0081561A" w:rsidP="00D65BB0">
            <w:pPr>
              <w:pStyle w:val="ocsinumberingparagraphs"/>
              <w:spacing w:before="0" w:after="0" w:line="460" w:lineRule="exact"/>
              <w:jc w:val="center"/>
              <w:rPr>
                <w:color w:val="002DB2"/>
              </w:rPr>
            </w:pPr>
            <w:fldSimple w:instr=" DOCPROPERTY  prp_place_charity  \* MERGEFORMAT ">
              <w:r w:rsidR="00CA2DBC">
                <w:rPr>
                  <w:color w:val="002DB2"/>
                </w:rPr>
                <w:t>2.0 per 1,000 population</w:t>
              </w:r>
            </w:fldSimple>
          </w:p>
        </w:tc>
      </w:tr>
      <w:tr w:rsidR="00CA2DBC" w:rsidRPr="00794259" w:rsidTr="00D65BB0">
        <w:trPr>
          <w:jc w:val="center"/>
        </w:trPr>
        <w:tc>
          <w:tcPr>
            <w:tcW w:w="1995" w:type="dxa"/>
            <w:tcBorders>
              <w:top w:val="single" w:sz="4" w:space="0" w:color="002DB2"/>
              <w:left w:val="single" w:sz="4" w:space="0" w:color="002DB2"/>
              <w:bottom w:val="single" w:sz="4" w:space="0" w:color="002060"/>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place_inv_r  \* MERGEFORMAT ">
              <w:r w:rsidR="00CA2DBC">
                <w:rPr>
                  <w:color w:val="FFFFFF"/>
                  <w:sz w:val="14"/>
                  <w:szCs w:val="16"/>
                </w:rPr>
                <w:t xml:space="preserve"> (London = 17%)</w:t>
              </w:r>
            </w:fldSimple>
          </w:p>
        </w:tc>
        <w:tc>
          <w:tcPr>
            <w:tcW w:w="284" w:type="dxa"/>
            <w:tcBorders>
              <w:left w:val="single" w:sz="4" w:space="0" w:color="002DB2"/>
              <w:bottom w:val="single" w:sz="4" w:space="0" w:color="002060"/>
              <w:right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701" w:type="dxa"/>
            <w:tcBorders>
              <w:top w:val="single" w:sz="4" w:space="0" w:color="002DB2"/>
              <w:left w:val="single" w:sz="4" w:space="0" w:color="002DB2"/>
              <w:bottom w:val="single" w:sz="4" w:space="0" w:color="002060"/>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place_infl_r  \* MERGEFORMAT ">
              <w:r w:rsidR="00CA2DBC">
                <w:rPr>
                  <w:color w:val="FFFFFF"/>
                  <w:sz w:val="14"/>
                  <w:szCs w:val="16"/>
                </w:rPr>
                <w:t xml:space="preserve"> (London = 35%)</w:t>
              </w:r>
            </w:fldSimple>
          </w:p>
        </w:tc>
        <w:tc>
          <w:tcPr>
            <w:tcW w:w="236" w:type="dxa"/>
            <w:tcBorders>
              <w:left w:val="single" w:sz="4" w:space="0" w:color="002DB2"/>
              <w:bottom w:val="single" w:sz="4" w:space="0" w:color="002060"/>
              <w:right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905" w:type="dxa"/>
            <w:tcBorders>
              <w:top w:val="single" w:sz="4" w:space="0" w:color="002DB2"/>
              <w:left w:val="single" w:sz="4" w:space="0" w:color="002DB2"/>
              <w:bottom w:val="single" w:sz="4" w:space="0" w:color="002060"/>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place_vol_r  \* MERGEFORMAT ">
              <w:r w:rsidR="00CA2DBC">
                <w:rPr>
                  <w:color w:val="FFFFFF"/>
                  <w:sz w:val="14"/>
                  <w:szCs w:val="16"/>
                </w:rPr>
                <w:t xml:space="preserve"> (London = 21%)</w:t>
              </w:r>
            </w:fldSimple>
          </w:p>
        </w:tc>
        <w:tc>
          <w:tcPr>
            <w:tcW w:w="283" w:type="dxa"/>
            <w:tcBorders>
              <w:left w:val="single" w:sz="4" w:space="0" w:color="002DB2"/>
              <w:bottom w:val="single" w:sz="4" w:space="0" w:color="002060"/>
              <w:right w:val="single" w:sz="4" w:space="0" w:color="002DB2"/>
            </w:tcBorders>
            <w:shd w:val="clear" w:color="auto" w:fill="auto"/>
            <w:vAlign w:val="center"/>
          </w:tcPr>
          <w:p w:rsidR="00CA2DBC" w:rsidRPr="00794259" w:rsidRDefault="00CA2DBC" w:rsidP="00D65BB0">
            <w:pPr>
              <w:pStyle w:val="ocsinumberingparagraphs"/>
              <w:spacing w:before="0" w:after="0" w:line="200" w:lineRule="exact"/>
              <w:jc w:val="center"/>
              <w:rPr>
                <w:color w:val="FFFFFF"/>
                <w:sz w:val="14"/>
                <w:szCs w:val="16"/>
              </w:rPr>
            </w:pPr>
          </w:p>
        </w:tc>
        <w:tc>
          <w:tcPr>
            <w:tcW w:w="1905" w:type="dxa"/>
            <w:tcBorders>
              <w:top w:val="single" w:sz="4" w:space="0" w:color="002DB2"/>
              <w:left w:val="single" w:sz="4" w:space="0" w:color="002DB2"/>
              <w:bottom w:val="single" w:sz="4" w:space="0" w:color="002060"/>
              <w:right w:val="single" w:sz="4" w:space="0" w:color="002DB2"/>
            </w:tcBorders>
            <w:shd w:val="clear" w:color="auto" w:fill="002DB2"/>
            <w:vAlign w:val="center"/>
          </w:tcPr>
          <w:p w:rsidR="00CA2DBC" w:rsidRPr="00794259" w:rsidRDefault="0081561A" w:rsidP="00D65BB0">
            <w:pPr>
              <w:pStyle w:val="ocsinumberingparagraphs"/>
              <w:spacing w:before="0" w:after="0" w:line="200" w:lineRule="exact"/>
              <w:jc w:val="center"/>
              <w:rPr>
                <w:color w:val="FFFFFF"/>
                <w:sz w:val="14"/>
                <w:szCs w:val="16"/>
              </w:rPr>
            </w:pPr>
            <w:fldSimple w:instr=" DOCPROPERTY  prp_place_charity_r  \* MERGEFORMAT ">
              <w:r w:rsidR="00CA2DBC">
                <w:rPr>
                  <w:color w:val="FFFFFF"/>
                  <w:sz w:val="14"/>
                  <w:szCs w:val="16"/>
                </w:rPr>
                <w:t xml:space="preserve"> (London = 2.9 per 1,000)</w:t>
              </w:r>
            </w:fldSimple>
          </w:p>
        </w:tc>
      </w:tr>
      <w:tr w:rsidR="00CA2DBC" w:rsidRPr="005D6959" w:rsidTr="00D65BB0">
        <w:trPr>
          <w:jc w:val="center"/>
        </w:trPr>
        <w:tc>
          <w:tcPr>
            <w:tcW w:w="8309" w:type="dxa"/>
            <w:gridSpan w:val="7"/>
            <w:tcBorders>
              <w:top w:val="single" w:sz="4" w:space="0" w:color="002060"/>
              <w:left w:val="single" w:sz="4" w:space="0" w:color="002DB2"/>
              <w:bottom w:val="single" w:sz="4" w:space="0" w:color="002DB2"/>
              <w:right w:val="single" w:sz="4" w:space="0" w:color="002DB2"/>
            </w:tcBorders>
            <w:shd w:val="clear" w:color="auto" w:fill="auto"/>
            <w:vAlign w:val="center"/>
          </w:tcPr>
          <w:p w:rsidR="00CA2DBC" w:rsidRPr="005D6959" w:rsidRDefault="0081561A" w:rsidP="00D65BB0">
            <w:pPr>
              <w:spacing w:line="280" w:lineRule="exact"/>
              <w:rPr>
                <w:rFonts w:ascii="Arial Unicode MS" w:eastAsia="PMingLiU" w:hAnsi="Arial Unicode MS"/>
                <w:lang w:eastAsia="zh-TW"/>
              </w:rPr>
            </w:pPr>
            <w:fldSimple w:instr=" DOCPROPERTY  prp_hact_place_source  \* MERGEFORMAT ">
              <w:r w:rsidR="00CA2DBC" w:rsidRPr="003839A1">
                <w:rPr>
                  <w:rFonts w:ascii="Arial Unicode MS" w:eastAsia="PMingLiU" w:hAnsi="Arial Unicode MS"/>
                  <w:bCs/>
                  <w:color w:val="002DB2"/>
                  <w:sz w:val="16"/>
                  <w:szCs w:val="16"/>
                  <w:lang w:val="en-US" w:eastAsia="zh-TW"/>
                </w:rPr>
                <w:t>Source: Place Survey</w:t>
              </w:r>
              <w:r w:rsidR="00CA2DBC">
                <w:rPr>
                  <w:rFonts w:ascii="Arial Unicode MS" w:eastAsia="PMingLiU" w:hAnsi="Arial Unicode MS"/>
                  <w:color w:val="002DB2"/>
                  <w:sz w:val="16"/>
                  <w:szCs w:val="16"/>
                  <w:lang w:eastAsia="zh-TW"/>
                </w:rPr>
                <w:t xml:space="preserve"> (2008), Active Charities - National Council for Voluntary Organisations (NCVO) (2009). Note all information is collected at Local Authority level</w:t>
              </w:r>
            </w:fldSimple>
          </w:p>
        </w:tc>
      </w:tr>
    </w:tbl>
    <w:p w:rsidR="00CA2DBC" w:rsidRDefault="00CA2DBC" w:rsidP="00A25B01">
      <w:pPr>
        <w:ind w:left="0"/>
      </w:pPr>
    </w:p>
    <w:p w:rsidR="00CA2DBC" w:rsidRPr="008751AC" w:rsidRDefault="004331A1" w:rsidP="00A25B01">
      <w:pPr>
        <w:ind w:left="0"/>
        <w:rPr>
          <w:b/>
          <w:color w:val="548DD4" w:themeColor="text2" w:themeTint="99"/>
        </w:rPr>
      </w:pPr>
      <w:r>
        <w:rPr>
          <w:b/>
          <w:color w:val="548DD4" w:themeColor="text2" w:themeTint="99"/>
        </w:rPr>
        <w:lastRenderedPageBreak/>
        <w:t>S</w:t>
      </w:r>
      <w:r w:rsidR="00CA2DBC" w:rsidRPr="008751AC">
        <w:rPr>
          <w:b/>
          <w:color w:val="548DD4" w:themeColor="text2" w:themeTint="99"/>
        </w:rPr>
        <w:t>atisfaction and Belonging</w:t>
      </w:r>
    </w:p>
    <w:p w:rsidR="00CA2DBC" w:rsidRDefault="00CA2DBC" w:rsidP="00A25B01">
      <w:pPr>
        <w:ind w:left="0"/>
      </w:pPr>
    </w:p>
    <w:p w:rsidR="00661239" w:rsidRDefault="00661239" w:rsidP="00A25B01">
      <w:pPr>
        <w:ind w:left="0"/>
      </w:pPr>
      <w:r>
        <w:rPr>
          <w:noProof/>
          <w:lang w:eastAsia="en-GB"/>
        </w:rPr>
        <w:drawing>
          <wp:anchor distT="0" distB="0" distL="114300" distR="114300" simplePos="0" relativeHeight="251663360" behindDoc="1" locked="0" layoutInCell="1" allowOverlap="1">
            <wp:simplePos x="0" y="0"/>
            <wp:positionH relativeFrom="column">
              <wp:posOffset>-190500</wp:posOffset>
            </wp:positionH>
            <wp:positionV relativeFrom="paragraph">
              <wp:posOffset>-252095</wp:posOffset>
            </wp:positionV>
            <wp:extent cx="4676775" cy="1857375"/>
            <wp:effectExtent l="19050" t="0" r="9525" b="0"/>
            <wp:wrapTight wrapText="bothSides">
              <wp:wrapPolygon edited="0">
                <wp:start x="-88" y="0"/>
                <wp:lineTo x="-88" y="21489"/>
                <wp:lineTo x="21644" y="21489"/>
                <wp:lineTo x="21644" y="0"/>
                <wp:lineTo x="-8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676775" cy="1857375"/>
                    </a:xfrm>
                    <a:prstGeom prst="rect">
                      <a:avLst/>
                    </a:prstGeom>
                    <a:noFill/>
                  </pic:spPr>
                </pic:pic>
              </a:graphicData>
            </a:graphic>
          </wp:anchor>
        </w:drawing>
      </w:r>
    </w:p>
    <w:p w:rsidR="00661239" w:rsidRDefault="00661239" w:rsidP="00A25B01">
      <w:pPr>
        <w:ind w:left="0"/>
      </w:pPr>
    </w:p>
    <w:p w:rsidR="00661239" w:rsidRDefault="00661239" w:rsidP="00A25B01">
      <w:pPr>
        <w:ind w:left="0"/>
      </w:pPr>
    </w:p>
    <w:p w:rsidR="00661239" w:rsidRDefault="00661239" w:rsidP="00A25B01">
      <w:pPr>
        <w:ind w:left="0"/>
      </w:pPr>
    </w:p>
    <w:p w:rsidR="00661239" w:rsidRDefault="00661239" w:rsidP="00A25B01">
      <w:pPr>
        <w:ind w:left="0"/>
      </w:pPr>
    </w:p>
    <w:p w:rsidR="00661239" w:rsidRDefault="00661239" w:rsidP="00A25B01">
      <w:pPr>
        <w:ind w:left="0"/>
      </w:pPr>
    </w:p>
    <w:p w:rsidR="00661239" w:rsidRDefault="00661239" w:rsidP="00A25B01">
      <w:pPr>
        <w:ind w:left="0"/>
      </w:pPr>
    </w:p>
    <w:p w:rsidR="00D56CB0" w:rsidRDefault="00D56CB0" w:rsidP="00A25B01">
      <w:pPr>
        <w:ind w:left="0"/>
        <w:rPr>
          <w:b/>
          <w:color w:val="548DD4" w:themeColor="text2" w:themeTint="99"/>
        </w:rPr>
      </w:pPr>
      <w:r>
        <w:rPr>
          <w:b/>
          <w:color w:val="548DD4" w:themeColor="text2" w:themeTint="99"/>
        </w:rPr>
        <w:t>Loneliness</w:t>
      </w:r>
      <w:r>
        <w:rPr>
          <w:rStyle w:val="FootnoteReference"/>
          <w:b/>
          <w:color w:val="548DD4" w:themeColor="text2" w:themeTint="99"/>
        </w:rPr>
        <w:footnoteReference w:id="2"/>
      </w:r>
    </w:p>
    <w:p w:rsidR="00D56CB0" w:rsidRDefault="00D56CB0" w:rsidP="00A25B01">
      <w:pPr>
        <w:ind w:left="0"/>
        <w:rPr>
          <w:b/>
          <w:color w:val="548DD4" w:themeColor="text2" w:themeTint="99"/>
        </w:rPr>
      </w:pPr>
      <w:r w:rsidRPr="00D56CB0">
        <w:rPr>
          <w:rFonts w:cs="Helvetica"/>
          <w:color w:val="626262"/>
          <w:shd w:val="clear" w:color="auto" w:fill="FFFFFF"/>
        </w:rPr>
        <w:t>Over 9 million people in the UK – almost a fifth of the population – say they are always or often lonely, but almost two thirds feel uncomfortable admitting to it (British Red Cross and Co-Op, 2016)</w:t>
      </w:r>
      <w:r>
        <w:rPr>
          <w:rStyle w:val="FootnoteReference"/>
          <w:rFonts w:cs="Helvetica"/>
          <w:color w:val="626262"/>
          <w:shd w:val="clear" w:color="auto" w:fill="FFFFFF"/>
        </w:rPr>
        <w:footnoteReference w:id="3"/>
      </w:r>
    </w:p>
    <w:p w:rsidR="009B7075" w:rsidRDefault="009B7075" w:rsidP="00A25B01">
      <w:pPr>
        <w:ind w:left="0"/>
        <w:rPr>
          <w:b/>
          <w:color w:val="548DD4" w:themeColor="text2" w:themeTint="99"/>
        </w:rPr>
      </w:pPr>
    </w:p>
    <w:p w:rsidR="00661239" w:rsidRPr="0013653E" w:rsidRDefault="00661239" w:rsidP="00A25B01">
      <w:pPr>
        <w:ind w:left="0"/>
        <w:rPr>
          <w:b/>
          <w:color w:val="548DD4" w:themeColor="text2" w:themeTint="99"/>
        </w:rPr>
      </w:pPr>
      <w:r w:rsidRPr="00D36F14">
        <w:rPr>
          <w:b/>
          <w:color w:val="548DD4" w:themeColor="text2" w:themeTint="99"/>
        </w:rPr>
        <w:t>The Economic Costs of Loneliness (May 2019)</w:t>
      </w:r>
      <w:r w:rsidRPr="00D36F14">
        <w:rPr>
          <w:rStyle w:val="FootnoteReference"/>
          <w:b/>
          <w:color w:val="548DD4" w:themeColor="text2" w:themeTint="99"/>
        </w:rPr>
        <w:footnoteReference w:id="4"/>
      </w:r>
    </w:p>
    <w:p w:rsidR="00D56CB0" w:rsidRDefault="00D56CB0" w:rsidP="00D56CB0">
      <w:pPr>
        <w:ind w:left="0"/>
      </w:pPr>
      <w:r>
        <w:t>Estimated number of Lonely People = 23% (UK)</w:t>
      </w:r>
      <w:r w:rsidR="0013653E">
        <w:rPr>
          <w:rStyle w:val="FootnoteReference"/>
        </w:rPr>
        <w:footnoteReference w:id="5"/>
      </w:r>
      <w:r>
        <w:t xml:space="preserve"> </w:t>
      </w:r>
    </w:p>
    <w:p w:rsidR="00661239" w:rsidRDefault="00D36F14" w:rsidP="00A25B01">
      <w:pPr>
        <w:ind w:left="0"/>
      </w:pPr>
      <w:r>
        <w:t>Direct Costs = £12000 per person over 15 years = £800 per year per person.</w:t>
      </w:r>
    </w:p>
    <w:p w:rsidR="00CA2DBC" w:rsidRDefault="00D36F14" w:rsidP="00A25B01">
      <w:pPr>
        <w:ind w:left="0"/>
      </w:pPr>
      <w:r>
        <w:t>BLSW11 population is 17,355 @ 23% = 4000; 4000 X 800 = £3,200,000 a year; over five years = £16,000,000</w:t>
      </w:r>
    </w:p>
    <w:p w:rsidR="00B458BA" w:rsidRDefault="00B458BA" w:rsidP="00A25B01">
      <w:pPr>
        <w:ind w:left="0"/>
      </w:pPr>
    </w:p>
    <w:p w:rsidR="00B458BA" w:rsidRDefault="00B458BA">
      <w:r>
        <w:br w:type="page"/>
      </w:r>
    </w:p>
    <w:p w:rsidR="00B458BA" w:rsidRDefault="00B458BA" w:rsidP="00A25B01">
      <w:pPr>
        <w:ind w:left="0"/>
        <w:rPr>
          <w:b/>
          <w:color w:val="0070C0"/>
        </w:rPr>
      </w:pPr>
    </w:p>
    <w:p w:rsidR="00B458BA" w:rsidRDefault="00B458BA" w:rsidP="00A25B01">
      <w:pPr>
        <w:ind w:left="0"/>
        <w:rPr>
          <w:b/>
          <w:color w:val="0070C0"/>
        </w:rPr>
      </w:pPr>
      <w:r w:rsidRPr="00B458BA">
        <w:rPr>
          <w:b/>
          <w:color w:val="0070C0"/>
        </w:rPr>
        <w:t>Appendix 2: Social Capital</w:t>
      </w:r>
    </w:p>
    <w:p w:rsidR="00202216" w:rsidRPr="00B458BA" w:rsidRDefault="00202216" w:rsidP="00A25B01">
      <w:pPr>
        <w:ind w:left="0"/>
        <w:rPr>
          <w:b/>
          <w:color w:val="0070C0"/>
        </w:rPr>
      </w:pPr>
    </w:p>
    <w:p w:rsidR="00D83A57" w:rsidRDefault="00B458BA" w:rsidP="00A25B01">
      <w:pPr>
        <w:ind w:left="0"/>
      </w:pPr>
      <w:r>
        <w:t xml:space="preserve">The term social capital </w:t>
      </w:r>
      <w:r w:rsidR="00DD0A2F">
        <w:t>describes the characteristics of the relationships</w:t>
      </w:r>
      <w:r w:rsidR="00D83A57">
        <w:t xml:space="preserve"> between people in communities.</w:t>
      </w:r>
    </w:p>
    <w:p w:rsidR="00B458BA" w:rsidRDefault="00DD0A2F" w:rsidP="00A25B01">
      <w:pPr>
        <w:ind w:left="0"/>
      </w:pPr>
      <w:r>
        <w:t>Some areas are ‘rich’ in social capital with multiple forms of interaction between people through neighbourhood associations, clubs, community groups, trusts, charities and strong kinships; others are ‘poorer’, with few opportunities for people to come together with shared common purposes.</w:t>
      </w:r>
    </w:p>
    <w:p w:rsidR="00DD0A2F" w:rsidRDefault="00DD0A2F" w:rsidP="00A25B01">
      <w:pPr>
        <w:ind w:left="0"/>
      </w:pPr>
      <w:r>
        <w:t xml:space="preserve">Communities with strong social capital are better placed to deal with threats and take advantage of opportunities than those </w:t>
      </w:r>
      <w:r w:rsidR="00014682">
        <w:t xml:space="preserve">where social capital is weak. </w:t>
      </w:r>
    </w:p>
    <w:p w:rsidR="00DD0A2F" w:rsidRDefault="00DD0A2F" w:rsidP="00A25B01">
      <w:pPr>
        <w:ind w:left="0"/>
      </w:pPr>
      <w:r>
        <w:t>There are generally three types of social capital:</w:t>
      </w:r>
    </w:p>
    <w:p w:rsidR="00014682" w:rsidRDefault="00014682" w:rsidP="00014682">
      <w:pPr>
        <w:pStyle w:val="ListParagraph"/>
        <w:numPr>
          <w:ilvl w:val="0"/>
          <w:numId w:val="6"/>
        </w:numPr>
      </w:pPr>
      <w:r>
        <w:t>Bonding – among family members, extended families and ethnic groups</w:t>
      </w:r>
    </w:p>
    <w:p w:rsidR="00D83A57" w:rsidRDefault="00D83A57" w:rsidP="00D83A57">
      <w:pPr>
        <w:pStyle w:val="ListParagraph"/>
      </w:pPr>
    </w:p>
    <w:p w:rsidR="00014682" w:rsidRDefault="00014682" w:rsidP="00014682">
      <w:pPr>
        <w:pStyle w:val="ListParagraph"/>
        <w:numPr>
          <w:ilvl w:val="0"/>
          <w:numId w:val="6"/>
        </w:numPr>
      </w:pPr>
      <w:r>
        <w:t>Bridging – across ethnic groups</w:t>
      </w:r>
    </w:p>
    <w:p w:rsidR="00D83A57" w:rsidRDefault="00D83A57" w:rsidP="00D83A57">
      <w:pPr>
        <w:pStyle w:val="ListParagraph"/>
      </w:pPr>
    </w:p>
    <w:p w:rsidR="00014682" w:rsidRDefault="00014682" w:rsidP="00014682">
      <w:pPr>
        <w:pStyle w:val="ListParagraph"/>
        <w:numPr>
          <w:ilvl w:val="0"/>
          <w:numId w:val="6"/>
        </w:numPr>
      </w:pPr>
      <w:r>
        <w:t>Linking – between different social classes</w:t>
      </w:r>
    </w:p>
    <w:p w:rsidR="00D83A57" w:rsidRDefault="00D83A57" w:rsidP="00D83A57">
      <w:pPr>
        <w:pStyle w:val="ListParagraph"/>
      </w:pPr>
    </w:p>
    <w:p w:rsidR="00DD0A2F" w:rsidRDefault="00014682" w:rsidP="00A25B01">
      <w:pPr>
        <w:ind w:left="0"/>
      </w:pPr>
      <w:r>
        <w:t>In terms of building a cohesive and inclusive community social capital can have positive or negative effects. Where people have shared values and strive to be inclusive, social capital can bring people together. Where people tend to be insular or exclusive, social capital can be a barrier, defending sectional interests.</w:t>
      </w:r>
    </w:p>
    <w:p w:rsidR="00014682" w:rsidRDefault="00014682" w:rsidP="00A25B01">
      <w:pPr>
        <w:ind w:left="0"/>
      </w:pPr>
      <w:r>
        <w:t>Social capital can be measured in a variety of ways</w:t>
      </w:r>
      <w:r w:rsidR="00D83A57">
        <w:t xml:space="preserve"> including (but not limited to):</w:t>
      </w:r>
    </w:p>
    <w:p w:rsidR="00D83A57" w:rsidRDefault="00D83A57" w:rsidP="00A25B01">
      <w:pPr>
        <w:ind w:left="0"/>
      </w:pPr>
    </w:p>
    <w:p w:rsidR="00D83A57" w:rsidRDefault="00D83A57" w:rsidP="00D83A57">
      <w:pPr>
        <w:pStyle w:val="ListParagraph"/>
        <w:numPr>
          <w:ilvl w:val="0"/>
          <w:numId w:val="7"/>
        </w:numPr>
      </w:pPr>
      <w:r>
        <w:t>The number of community groups/associations in an area</w:t>
      </w:r>
    </w:p>
    <w:p w:rsidR="00D83A57" w:rsidRDefault="00D83A57" w:rsidP="00D83A57">
      <w:pPr>
        <w:pStyle w:val="ListParagraph"/>
      </w:pPr>
    </w:p>
    <w:p w:rsidR="00D83A57" w:rsidRDefault="00D83A57" w:rsidP="00D83A57">
      <w:pPr>
        <w:pStyle w:val="ListParagraph"/>
        <w:numPr>
          <w:ilvl w:val="0"/>
          <w:numId w:val="7"/>
        </w:numPr>
      </w:pPr>
      <w:r>
        <w:t>The types of associations (Trusts, Civic Groups, Ethnic Groups, Environmental Groups, Disability Groups,  Sexual Orientation, Mental health)</w:t>
      </w:r>
    </w:p>
    <w:p w:rsidR="00D83A57" w:rsidRDefault="00D83A57" w:rsidP="00D83A57">
      <w:pPr>
        <w:pStyle w:val="ListParagraph"/>
      </w:pPr>
    </w:p>
    <w:p w:rsidR="00D83A57" w:rsidRDefault="00D83A57" w:rsidP="00D83A57">
      <w:pPr>
        <w:pStyle w:val="ListParagraph"/>
        <w:numPr>
          <w:ilvl w:val="0"/>
          <w:numId w:val="7"/>
        </w:numPr>
      </w:pPr>
      <w:r>
        <w:t>The range and types of infrastructure organisations that support groups and people</w:t>
      </w:r>
    </w:p>
    <w:p w:rsidR="00202216" w:rsidRDefault="00202216" w:rsidP="00202216">
      <w:pPr>
        <w:pStyle w:val="ListParagraph"/>
      </w:pPr>
    </w:p>
    <w:p w:rsidR="00202216" w:rsidRDefault="00202216" w:rsidP="00D83A57">
      <w:pPr>
        <w:pStyle w:val="ListParagraph"/>
        <w:numPr>
          <w:ilvl w:val="0"/>
          <w:numId w:val="7"/>
        </w:numPr>
      </w:pPr>
      <w:r>
        <w:t>Levels of volunteering</w:t>
      </w:r>
    </w:p>
    <w:p w:rsidR="00D83A57" w:rsidRDefault="00D83A57" w:rsidP="00A25B01">
      <w:pPr>
        <w:ind w:left="0"/>
      </w:pPr>
    </w:p>
    <w:p w:rsidR="00014682" w:rsidRDefault="00D83A57" w:rsidP="00A25B01">
      <w:pPr>
        <w:ind w:left="0"/>
      </w:pPr>
      <w:r>
        <w:t xml:space="preserve">Social capital is essentially about how people interact and relate to each other. </w:t>
      </w:r>
    </w:p>
    <w:p w:rsidR="00014682" w:rsidRDefault="00014682" w:rsidP="00A25B01">
      <w:pPr>
        <w:ind w:left="0"/>
      </w:pPr>
    </w:p>
    <w:sectPr w:rsidR="00014682" w:rsidSect="00310DAB">
      <w:pgSz w:w="11906" w:h="16838"/>
      <w:pgMar w:top="1440" w:right="1276"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3DE" w:rsidRDefault="002A43DE" w:rsidP="00661239">
      <w:pPr>
        <w:spacing w:before="0" w:after="0"/>
      </w:pPr>
      <w:r>
        <w:separator/>
      </w:r>
    </w:p>
  </w:endnote>
  <w:endnote w:type="continuationSeparator" w:id="0">
    <w:p w:rsidR="002A43DE" w:rsidRDefault="002A43DE" w:rsidP="0066123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CA" w:rsidRDefault="00C756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CA" w:rsidRDefault="00C756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CA" w:rsidRDefault="00C756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3DE" w:rsidRDefault="002A43DE" w:rsidP="00661239">
      <w:pPr>
        <w:spacing w:before="0" w:after="0"/>
      </w:pPr>
      <w:r>
        <w:separator/>
      </w:r>
    </w:p>
  </w:footnote>
  <w:footnote w:type="continuationSeparator" w:id="0">
    <w:p w:rsidR="002A43DE" w:rsidRDefault="002A43DE" w:rsidP="00661239">
      <w:pPr>
        <w:spacing w:before="0" w:after="0"/>
      </w:pPr>
      <w:r>
        <w:continuationSeparator/>
      </w:r>
    </w:p>
  </w:footnote>
  <w:footnote w:id="1">
    <w:p w:rsidR="00C756CA" w:rsidRDefault="00C756CA">
      <w:pPr>
        <w:pStyle w:val="FootnoteText"/>
      </w:pPr>
      <w:r>
        <w:rPr>
          <w:rStyle w:val="FootnoteReference"/>
        </w:rPr>
        <w:footnoteRef/>
      </w:r>
      <w:r>
        <w:t xml:space="preserve"> Social Capital describes the relationships between people in communities, their common interests, ties and shared values (see Appendix 2 for a fuller description).</w:t>
      </w:r>
    </w:p>
  </w:footnote>
  <w:footnote w:id="2">
    <w:p w:rsidR="00C756CA" w:rsidRDefault="00C756CA">
      <w:pPr>
        <w:pStyle w:val="FootnoteText"/>
      </w:pPr>
      <w:r>
        <w:rPr>
          <w:rStyle w:val="FootnoteReference"/>
        </w:rPr>
        <w:footnoteRef/>
      </w:r>
      <w:r>
        <w:t xml:space="preserve"> Loneliness comes in many different forms, Elderly, Widows, Single Parents, Unemployed, Disability, Mental Health, Young disconnected, Refugees, Migrants, etc. It is also experienced at different times and for different durations. All the figures used here must be regarded with some caution.</w:t>
      </w:r>
    </w:p>
  </w:footnote>
  <w:footnote w:id="3">
    <w:p w:rsidR="00C756CA" w:rsidRDefault="00C756CA">
      <w:pPr>
        <w:pStyle w:val="FootnoteText"/>
      </w:pPr>
      <w:r>
        <w:rPr>
          <w:rStyle w:val="FootnoteReference"/>
        </w:rPr>
        <w:footnoteRef/>
      </w:r>
      <w:r>
        <w:t xml:space="preserve"> </w:t>
      </w:r>
      <w:hyperlink r:id="rId1" w:history="1">
        <w:r>
          <w:rPr>
            <w:rStyle w:val="Hyperlink"/>
          </w:rPr>
          <w:t>https://www.campaigntoendloneliness.org/loneliness-research/</w:t>
        </w:r>
      </w:hyperlink>
    </w:p>
  </w:footnote>
  <w:footnote w:id="4">
    <w:p w:rsidR="00C756CA" w:rsidRDefault="00C756CA">
      <w:pPr>
        <w:pStyle w:val="FootnoteText"/>
      </w:pPr>
      <w:r>
        <w:rPr>
          <w:rStyle w:val="FootnoteReference"/>
        </w:rPr>
        <w:footnoteRef/>
      </w:r>
      <w:r>
        <w:t xml:space="preserve"> </w:t>
      </w:r>
      <w:hyperlink r:id="rId2" w:history="1">
        <w:r>
          <w:rPr>
            <w:rStyle w:val="Hyperlink"/>
          </w:rPr>
          <w:t>https://www.researchgate.net/publication/333319538_The_economic_costs_of_loneliness_a_review_of_cost-of-illness_and_economic_evaluation_studies</w:t>
        </w:r>
      </w:hyperlink>
      <w:r>
        <w:t xml:space="preserve"> The Study focussed mainly on health costs amongst older people.</w:t>
      </w:r>
    </w:p>
  </w:footnote>
  <w:footnote w:id="5">
    <w:p w:rsidR="00C756CA" w:rsidRDefault="00C756CA">
      <w:pPr>
        <w:pStyle w:val="FootnoteText"/>
      </w:pPr>
      <w:r>
        <w:rPr>
          <w:rStyle w:val="FootnoteReference"/>
        </w:rPr>
        <w:footnoteRef/>
      </w:r>
      <w:r>
        <w:t xml:space="preserve"> </w:t>
      </w:r>
      <w:hyperlink r:id="rId3" w:anchor="25338b7a7676" w:history="1">
        <w:r>
          <w:rPr>
            <w:rStyle w:val="Hyperlink"/>
          </w:rPr>
          <w:t>https://www.forbes.com/sites/neilhowe/2019/05/03/millennials-and-the-loneliness-epidemic/#25338b7a7676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CA" w:rsidRDefault="00C756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31985"/>
      <w:docPartObj>
        <w:docPartGallery w:val="Watermarks"/>
        <w:docPartUnique/>
      </w:docPartObj>
    </w:sdtPr>
    <w:sdtContent>
      <w:p w:rsidR="00C756CA" w:rsidRDefault="00C756CA">
        <w:pPr>
          <w:pStyle w:val="Header"/>
        </w:pPr>
        <w:r w:rsidRPr="0081561A">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CA" w:rsidRDefault="00C756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303"/>
    <w:multiLevelType w:val="hybridMultilevel"/>
    <w:tmpl w:val="9034910C"/>
    <w:lvl w:ilvl="0" w:tplc="EB0E34D0">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D47B4"/>
    <w:multiLevelType w:val="hybridMultilevel"/>
    <w:tmpl w:val="9034910C"/>
    <w:lvl w:ilvl="0" w:tplc="EB0E34D0">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6A05F2"/>
    <w:multiLevelType w:val="hybridMultilevel"/>
    <w:tmpl w:val="9034910C"/>
    <w:lvl w:ilvl="0" w:tplc="EB0E34D0">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F35"/>
    <w:multiLevelType w:val="hybridMultilevel"/>
    <w:tmpl w:val="A6CC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BB16DC"/>
    <w:multiLevelType w:val="hybridMultilevel"/>
    <w:tmpl w:val="9034910C"/>
    <w:lvl w:ilvl="0" w:tplc="EB0E34D0">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741364"/>
    <w:multiLevelType w:val="hybridMultilevel"/>
    <w:tmpl w:val="1602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025866"/>
    <w:multiLevelType w:val="hybridMultilevel"/>
    <w:tmpl w:val="9034910C"/>
    <w:lvl w:ilvl="0" w:tplc="EB0E34D0">
      <w:start w:val="1"/>
      <w:numFmt w:val="decimal"/>
      <w:lvlText w:val="%1."/>
      <w:lvlJc w:val="left"/>
      <w:pPr>
        <w:ind w:left="720" w:hanging="360"/>
      </w:pPr>
      <w:rPr>
        <w:rFonts w:hint="default"/>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16386"/>
    <o:shapelayout v:ext="edit">
      <o:idmap v:ext="edit" data="11"/>
    </o:shapelayout>
  </w:hdrShapeDefaults>
  <w:footnotePr>
    <w:footnote w:id="-1"/>
    <w:footnote w:id="0"/>
  </w:footnotePr>
  <w:endnotePr>
    <w:endnote w:id="-1"/>
    <w:endnote w:id="0"/>
  </w:endnotePr>
  <w:compat/>
  <w:rsids>
    <w:rsidRoot w:val="00A25B01"/>
    <w:rsid w:val="000031BA"/>
    <w:rsid w:val="00004AE0"/>
    <w:rsid w:val="00014682"/>
    <w:rsid w:val="000276CF"/>
    <w:rsid w:val="00055602"/>
    <w:rsid w:val="00075069"/>
    <w:rsid w:val="000C36A6"/>
    <w:rsid w:val="000D517F"/>
    <w:rsid w:val="000D79F3"/>
    <w:rsid w:val="00135A12"/>
    <w:rsid w:val="0013653E"/>
    <w:rsid w:val="0014701B"/>
    <w:rsid w:val="00165141"/>
    <w:rsid w:val="0016643C"/>
    <w:rsid w:val="0017529B"/>
    <w:rsid w:val="00176B75"/>
    <w:rsid w:val="00185204"/>
    <w:rsid w:val="001A3F8D"/>
    <w:rsid w:val="001A66E2"/>
    <w:rsid w:val="001A797D"/>
    <w:rsid w:val="001F4C60"/>
    <w:rsid w:val="00202216"/>
    <w:rsid w:val="0022341C"/>
    <w:rsid w:val="00251551"/>
    <w:rsid w:val="00275671"/>
    <w:rsid w:val="00291CBF"/>
    <w:rsid w:val="002A3EE8"/>
    <w:rsid w:val="002A43DE"/>
    <w:rsid w:val="002B19E2"/>
    <w:rsid w:val="00310DAB"/>
    <w:rsid w:val="00322E44"/>
    <w:rsid w:val="00373726"/>
    <w:rsid w:val="0038171B"/>
    <w:rsid w:val="003D7168"/>
    <w:rsid w:val="003E37BB"/>
    <w:rsid w:val="004122CC"/>
    <w:rsid w:val="004239C3"/>
    <w:rsid w:val="004331A1"/>
    <w:rsid w:val="004519F0"/>
    <w:rsid w:val="00480B82"/>
    <w:rsid w:val="0049211C"/>
    <w:rsid w:val="004C6AFB"/>
    <w:rsid w:val="004D55AC"/>
    <w:rsid w:val="004E08AE"/>
    <w:rsid w:val="004E3EDE"/>
    <w:rsid w:val="00526832"/>
    <w:rsid w:val="00584737"/>
    <w:rsid w:val="005B45C4"/>
    <w:rsid w:val="005E7D19"/>
    <w:rsid w:val="005F426D"/>
    <w:rsid w:val="006530F9"/>
    <w:rsid w:val="00661239"/>
    <w:rsid w:val="006919F2"/>
    <w:rsid w:val="006C72C9"/>
    <w:rsid w:val="006D15B9"/>
    <w:rsid w:val="006E7462"/>
    <w:rsid w:val="0071737C"/>
    <w:rsid w:val="00756660"/>
    <w:rsid w:val="007952D6"/>
    <w:rsid w:val="007A6BD4"/>
    <w:rsid w:val="007E00A3"/>
    <w:rsid w:val="00800BAA"/>
    <w:rsid w:val="0081561A"/>
    <w:rsid w:val="00870E52"/>
    <w:rsid w:val="008751AC"/>
    <w:rsid w:val="008C6344"/>
    <w:rsid w:val="008F76EF"/>
    <w:rsid w:val="009063A9"/>
    <w:rsid w:val="0091379D"/>
    <w:rsid w:val="00914722"/>
    <w:rsid w:val="00927E76"/>
    <w:rsid w:val="009351AC"/>
    <w:rsid w:val="00981C3C"/>
    <w:rsid w:val="009B7075"/>
    <w:rsid w:val="00A00951"/>
    <w:rsid w:val="00A03433"/>
    <w:rsid w:val="00A25B01"/>
    <w:rsid w:val="00A67ED2"/>
    <w:rsid w:val="00AC2E51"/>
    <w:rsid w:val="00AF7C30"/>
    <w:rsid w:val="00B109D9"/>
    <w:rsid w:val="00B116F2"/>
    <w:rsid w:val="00B32C0C"/>
    <w:rsid w:val="00B458BA"/>
    <w:rsid w:val="00B50538"/>
    <w:rsid w:val="00B9599F"/>
    <w:rsid w:val="00B95E35"/>
    <w:rsid w:val="00BA4174"/>
    <w:rsid w:val="00BC39F3"/>
    <w:rsid w:val="00BD4D97"/>
    <w:rsid w:val="00BD6758"/>
    <w:rsid w:val="00C51885"/>
    <w:rsid w:val="00C65062"/>
    <w:rsid w:val="00C65E80"/>
    <w:rsid w:val="00C66048"/>
    <w:rsid w:val="00C713C1"/>
    <w:rsid w:val="00C756CA"/>
    <w:rsid w:val="00C86506"/>
    <w:rsid w:val="00CA2DBC"/>
    <w:rsid w:val="00CB086E"/>
    <w:rsid w:val="00CD5CDB"/>
    <w:rsid w:val="00D12DD1"/>
    <w:rsid w:val="00D36F14"/>
    <w:rsid w:val="00D56CB0"/>
    <w:rsid w:val="00D65BB0"/>
    <w:rsid w:val="00D83A57"/>
    <w:rsid w:val="00DC4D2E"/>
    <w:rsid w:val="00DD0A2F"/>
    <w:rsid w:val="00DD613F"/>
    <w:rsid w:val="00E22A7E"/>
    <w:rsid w:val="00E626EA"/>
    <w:rsid w:val="00EB2545"/>
    <w:rsid w:val="00EE1031"/>
    <w:rsid w:val="00EF260C"/>
    <w:rsid w:val="00F0399A"/>
    <w:rsid w:val="00F067E9"/>
    <w:rsid w:val="00F25C61"/>
    <w:rsid w:val="00F94E84"/>
    <w:rsid w:val="00FC190E"/>
    <w:rsid w:val="00FC52F5"/>
    <w:rsid w:val="00FC573E"/>
    <w:rsid w:val="00FD3EE5"/>
    <w:rsid w:val="00FD66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20" w:after="120"/>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60"/>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csinumberingparagraphs">
    <w:name w:val="ocsi_numbering_paragraphs"/>
    <w:basedOn w:val="Normal"/>
    <w:link w:val="ocsinumberingparagraphsChar"/>
    <w:qFormat/>
    <w:rsid w:val="00CB086E"/>
    <w:pPr>
      <w:tabs>
        <w:tab w:val="left" w:pos="794"/>
      </w:tabs>
      <w:spacing w:line="280" w:lineRule="exact"/>
      <w:ind w:left="0"/>
    </w:pPr>
    <w:rPr>
      <w:rFonts w:ascii="Arial Unicode MS" w:eastAsia="Times New Roman" w:hAnsi="Arial Unicode MS" w:cs="Times New Roman"/>
      <w:sz w:val="20"/>
      <w:szCs w:val="20"/>
      <w:lang w:eastAsia="zh-TW"/>
    </w:rPr>
  </w:style>
  <w:style w:type="character" w:customStyle="1" w:styleId="ocsinumberingparagraphsChar">
    <w:name w:val="ocsi_numbering_paragraphs Char"/>
    <w:link w:val="ocsinumberingparagraphs"/>
    <w:rsid w:val="00CB086E"/>
    <w:rPr>
      <w:rFonts w:ascii="Arial Unicode MS" w:eastAsia="Times New Roman" w:hAnsi="Arial Unicode MS" w:cs="Times New Roman"/>
      <w:sz w:val="20"/>
      <w:szCs w:val="20"/>
      <w:lang w:eastAsia="zh-TW"/>
    </w:rPr>
  </w:style>
  <w:style w:type="paragraph" w:styleId="FootnoteText">
    <w:name w:val="footnote text"/>
    <w:basedOn w:val="Normal"/>
    <w:link w:val="FootnoteTextChar"/>
    <w:uiPriority w:val="99"/>
    <w:semiHidden/>
    <w:unhideWhenUsed/>
    <w:rsid w:val="00661239"/>
    <w:pPr>
      <w:spacing w:before="0" w:after="0"/>
    </w:pPr>
    <w:rPr>
      <w:sz w:val="20"/>
      <w:szCs w:val="20"/>
    </w:rPr>
  </w:style>
  <w:style w:type="character" w:customStyle="1" w:styleId="FootnoteTextChar">
    <w:name w:val="Footnote Text Char"/>
    <w:basedOn w:val="DefaultParagraphFont"/>
    <w:link w:val="FootnoteText"/>
    <w:uiPriority w:val="99"/>
    <w:semiHidden/>
    <w:rsid w:val="00661239"/>
    <w:rPr>
      <w:rFonts w:ascii="Verdana" w:hAnsi="Verdana"/>
      <w:sz w:val="20"/>
      <w:szCs w:val="20"/>
    </w:rPr>
  </w:style>
  <w:style w:type="character" w:styleId="FootnoteReference">
    <w:name w:val="footnote reference"/>
    <w:basedOn w:val="DefaultParagraphFont"/>
    <w:uiPriority w:val="99"/>
    <w:semiHidden/>
    <w:unhideWhenUsed/>
    <w:rsid w:val="00661239"/>
    <w:rPr>
      <w:vertAlign w:val="superscript"/>
    </w:rPr>
  </w:style>
  <w:style w:type="character" w:styleId="Hyperlink">
    <w:name w:val="Hyperlink"/>
    <w:basedOn w:val="DefaultParagraphFont"/>
    <w:uiPriority w:val="99"/>
    <w:semiHidden/>
    <w:unhideWhenUsed/>
    <w:rsid w:val="00661239"/>
    <w:rPr>
      <w:color w:val="0000FF"/>
      <w:u w:val="single"/>
    </w:rPr>
  </w:style>
  <w:style w:type="paragraph" w:styleId="ListParagraph">
    <w:name w:val="List Paragraph"/>
    <w:basedOn w:val="Normal"/>
    <w:uiPriority w:val="34"/>
    <w:qFormat/>
    <w:rsid w:val="00176B75"/>
    <w:pPr>
      <w:ind w:left="720"/>
      <w:contextualSpacing/>
    </w:pPr>
  </w:style>
  <w:style w:type="table" w:styleId="TableGrid">
    <w:name w:val="Table Grid"/>
    <w:basedOn w:val="TableNormal"/>
    <w:uiPriority w:val="59"/>
    <w:rsid w:val="00176B7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A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7E"/>
    <w:rPr>
      <w:rFonts w:ascii="Tahoma" w:hAnsi="Tahoma" w:cs="Tahoma"/>
      <w:sz w:val="16"/>
      <w:szCs w:val="16"/>
    </w:rPr>
  </w:style>
  <w:style w:type="paragraph" w:styleId="Header">
    <w:name w:val="header"/>
    <w:basedOn w:val="Normal"/>
    <w:link w:val="HeaderChar"/>
    <w:uiPriority w:val="99"/>
    <w:semiHidden/>
    <w:unhideWhenUsed/>
    <w:rsid w:val="004E08AE"/>
    <w:pPr>
      <w:tabs>
        <w:tab w:val="center" w:pos="4513"/>
        <w:tab w:val="right" w:pos="9026"/>
      </w:tabs>
      <w:spacing w:before="0" w:after="0"/>
    </w:pPr>
  </w:style>
  <w:style w:type="character" w:customStyle="1" w:styleId="HeaderChar">
    <w:name w:val="Header Char"/>
    <w:basedOn w:val="DefaultParagraphFont"/>
    <w:link w:val="Header"/>
    <w:uiPriority w:val="99"/>
    <w:semiHidden/>
    <w:rsid w:val="004E08AE"/>
    <w:rPr>
      <w:rFonts w:ascii="Verdana" w:hAnsi="Verdana"/>
      <w:sz w:val="24"/>
    </w:rPr>
  </w:style>
  <w:style w:type="paragraph" w:styleId="Footer">
    <w:name w:val="footer"/>
    <w:basedOn w:val="Normal"/>
    <w:link w:val="FooterChar"/>
    <w:uiPriority w:val="99"/>
    <w:semiHidden/>
    <w:unhideWhenUsed/>
    <w:rsid w:val="004E08AE"/>
    <w:pPr>
      <w:tabs>
        <w:tab w:val="center" w:pos="4513"/>
        <w:tab w:val="right" w:pos="9026"/>
      </w:tabs>
      <w:spacing w:before="0" w:after="0"/>
    </w:pPr>
  </w:style>
  <w:style w:type="character" w:customStyle="1" w:styleId="FooterChar">
    <w:name w:val="Footer Char"/>
    <w:basedOn w:val="DefaultParagraphFont"/>
    <w:link w:val="Footer"/>
    <w:uiPriority w:val="99"/>
    <w:semiHidden/>
    <w:rsid w:val="004E08AE"/>
    <w:rPr>
      <w:rFonts w:ascii="Verdana" w:hAnsi="Verdana"/>
      <w:sz w:val="24"/>
    </w:rPr>
  </w:style>
</w:styles>
</file>

<file path=word/webSettings.xml><?xml version="1.0" encoding="utf-8"?>
<w:webSettings xmlns:r="http://schemas.openxmlformats.org/officeDocument/2006/relationships" xmlns:w="http://schemas.openxmlformats.org/wordprocessingml/2006/main">
  <w:divs>
    <w:div w:id="393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s://www.biglocalsw11.co.uk/research/" TargetMode="Externa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sites/neilhowe/2019/05/03/millennials-and-the-loneliness-epidemic/" TargetMode="External"/><Relationship Id="rId2" Type="http://schemas.openxmlformats.org/officeDocument/2006/relationships/hyperlink" Target="https://www.researchgate.net/publication/333319538_The_economic_costs_of_loneliness_a_review_of_cost-of-illness_and_economic_evaluation_studies" TargetMode="External"/><Relationship Id="rId1" Type="http://schemas.openxmlformats.org/officeDocument/2006/relationships/hyperlink" Target="https://www.campaigntoendloneliness.org/loneliness-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49E18-C3A0-4FD0-9BB6-424E9226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3282</Words>
  <Characters>18711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cp:lastModifiedBy>
  <cp:revision>12</cp:revision>
  <dcterms:created xsi:type="dcterms:W3CDTF">2020-09-01T07:18:00Z</dcterms:created>
  <dcterms:modified xsi:type="dcterms:W3CDTF">2020-09-11T09:10:00Z</dcterms:modified>
</cp:coreProperties>
</file>