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37990"/>
        <w:docPartObj>
          <w:docPartGallery w:val="Cover Pages"/>
          <w:docPartUnique/>
        </w:docPartObj>
      </w:sdtPr>
      <w:sdtEndPr>
        <w:rPr>
          <w:rFonts w:asciiTheme="majorHAnsi" w:eastAsiaTheme="majorEastAsia" w:hAnsiTheme="majorHAnsi" w:cstheme="majorBidi"/>
          <w:caps/>
        </w:rPr>
      </w:sdtEndPr>
      <w:sdtContent>
        <w:p w:rsidR="005A64E2" w:rsidRDefault="005A64E2"/>
        <w:p w:rsidR="005A64E2" w:rsidRDefault="005A64E2"/>
        <w:p w:rsidR="00B977AC" w:rsidRDefault="005A64E2">
          <w:r>
            <w:rPr>
              <w:noProof/>
              <w:lang w:eastAsia="en-GB"/>
            </w:rPr>
            <w:drawing>
              <wp:anchor distT="0" distB="0" distL="114300" distR="114300" simplePos="0" relativeHeight="251677696" behindDoc="1" locked="0" layoutInCell="1" allowOverlap="1">
                <wp:simplePos x="0" y="0"/>
                <wp:positionH relativeFrom="margin">
                  <wp:posOffset>4871085</wp:posOffset>
                </wp:positionH>
                <wp:positionV relativeFrom="paragraph">
                  <wp:posOffset>-459105</wp:posOffset>
                </wp:positionV>
                <wp:extent cx="1676400" cy="942975"/>
                <wp:effectExtent l="19050" t="0" r="0" b="0"/>
                <wp:wrapTight wrapText="bothSides">
                  <wp:wrapPolygon edited="0">
                    <wp:start x="-245" y="0"/>
                    <wp:lineTo x="-245" y="21382"/>
                    <wp:lineTo x="21600" y="21382"/>
                    <wp:lineTo x="21600" y="0"/>
                    <wp:lineTo x="-245" y="0"/>
                  </wp:wrapPolygon>
                </wp:wrapTight>
                <wp:docPr id="4"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9" cstate="print"/>
                        <a:srcRect/>
                        <a:stretch>
                          <a:fillRect/>
                        </a:stretch>
                      </pic:blipFill>
                      <pic:spPr bwMode="auto">
                        <a:xfrm>
                          <a:off x="0" y="0"/>
                          <a:ext cx="1676400" cy="942975"/>
                        </a:xfrm>
                        <a:prstGeom prst="rect">
                          <a:avLst/>
                        </a:prstGeom>
                        <a:noFill/>
                        <a:ln w="9525">
                          <a:noFill/>
                          <a:miter lim="800000"/>
                          <a:headEnd/>
                          <a:tailEnd/>
                        </a:ln>
                      </pic:spPr>
                    </pic:pic>
                  </a:graphicData>
                </a:graphic>
              </wp:anchor>
            </w:drawing>
          </w:r>
        </w:p>
        <w:p w:rsidR="00B977AC" w:rsidRDefault="00B977AC"/>
        <w:p w:rsidR="005A64E2" w:rsidRDefault="005A64E2"/>
        <w:p w:rsidR="005A64E2" w:rsidRDefault="005A64E2"/>
        <w:p w:rsidR="005A64E2" w:rsidRDefault="005A64E2"/>
        <w:p w:rsidR="005A64E2" w:rsidRDefault="005A64E2"/>
        <w:p w:rsidR="00B977AC" w:rsidRDefault="00062886" w:rsidP="005A64E2">
          <w:pPr>
            <w:jc w:val="center"/>
          </w:pPr>
          <w:sdt>
            <w:sdtPr>
              <w:rPr>
                <w:b/>
                <w:color w:val="365F91" w:themeColor="accent1" w:themeShade="BF"/>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Content>
              <w:r w:rsidR="007C7C24">
                <w:rPr>
                  <w:b/>
                  <w:color w:val="365F91" w:themeColor="accent1" w:themeShade="BF"/>
                  <w:sz w:val="48"/>
                  <w:szCs w:val="48"/>
                </w:rPr>
                <w:t>Big Local SW11 Alliance and Winstanley and York Road Joint Venture Partnership</w:t>
              </w:r>
            </w:sdtContent>
          </w:sdt>
        </w:p>
        <w:p w:rsidR="005A64E2" w:rsidRDefault="005A64E2" w:rsidP="005A64E2">
          <w:pPr>
            <w:pStyle w:val="NoSpacing"/>
            <w:jc w:val="center"/>
            <w:rPr>
              <w:rFonts w:asciiTheme="majorHAnsi" w:eastAsiaTheme="majorEastAsia" w:hAnsiTheme="majorHAnsi" w:cstheme="majorBidi"/>
              <w:caps/>
            </w:rPr>
          </w:pPr>
        </w:p>
        <w:p w:rsidR="005A64E2" w:rsidRDefault="005A64E2" w:rsidP="005A64E2">
          <w:pPr>
            <w:pStyle w:val="NoSpacing"/>
            <w:jc w:val="center"/>
            <w:rPr>
              <w:rFonts w:asciiTheme="majorHAnsi" w:eastAsiaTheme="majorEastAsia" w:hAnsiTheme="majorHAnsi" w:cstheme="majorBidi"/>
              <w:caps/>
            </w:rPr>
          </w:pPr>
        </w:p>
        <w:p w:rsidR="005A64E2" w:rsidRDefault="005A64E2" w:rsidP="005A64E2">
          <w:pPr>
            <w:pStyle w:val="NoSpacing"/>
            <w:jc w:val="center"/>
            <w:rPr>
              <w:rFonts w:asciiTheme="majorHAnsi" w:eastAsiaTheme="majorEastAsia" w:hAnsiTheme="majorHAnsi" w:cstheme="majorBidi"/>
              <w:caps/>
            </w:rPr>
          </w:pPr>
        </w:p>
        <w:p w:rsidR="005A64E2" w:rsidRDefault="005A64E2" w:rsidP="005A64E2">
          <w:pPr>
            <w:pStyle w:val="NoSpacing"/>
            <w:jc w:val="center"/>
            <w:rPr>
              <w:rFonts w:asciiTheme="majorHAnsi" w:eastAsiaTheme="majorEastAsia" w:hAnsiTheme="majorHAnsi" w:cstheme="majorBidi"/>
              <w:caps/>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r>
            <w:rPr>
              <w:rFonts w:asciiTheme="majorHAnsi" w:eastAsiaTheme="majorEastAsia" w:hAnsiTheme="majorHAnsi" w:cstheme="majorBidi"/>
              <w:b/>
              <w:caps/>
              <w:color w:val="365F91" w:themeColor="accent1" w:themeShade="BF"/>
            </w:rPr>
            <w:t xml:space="preserve">Community </w:t>
          </w:r>
          <w:r w:rsidRPr="005A64E2">
            <w:rPr>
              <w:rFonts w:asciiTheme="majorHAnsi" w:eastAsiaTheme="majorEastAsia" w:hAnsiTheme="majorHAnsi" w:cstheme="majorBidi"/>
              <w:b/>
              <w:caps/>
              <w:color w:val="365F91" w:themeColor="accent1" w:themeShade="BF"/>
            </w:rPr>
            <w:t>Investment proposal</w:t>
          </w: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Default="005A64E2" w:rsidP="005A64E2">
          <w:pPr>
            <w:pStyle w:val="NoSpacing"/>
            <w:jc w:val="center"/>
            <w:rPr>
              <w:rFonts w:asciiTheme="majorHAnsi" w:eastAsiaTheme="majorEastAsia" w:hAnsiTheme="majorHAnsi" w:cstheme="majorBidi"/>
              <w:b/>
              <w:caps/>
              <w:color w:val="365F91" w:themeColor="accent1" w:themeShade="BF"/>
            </w:rPr>
          </w:pPr>
        </w:p>
        <w:p w:rsidR="005A64E2" w:rsidRPr="005A64E2" w:rsidRDefault="005A64E2" w:rsidP="005A64E2">
          <w:pPr>
            <w:pStyle w:val="NoSpacing"/>
            <w:jc w:val="center"/>
            <w:rPr>
              <w:b/>
              <w:color w:val="365F91" w:themeColor="accent1" w:themeShade="BF"/>
              <w:sz w:val="36"/>
              <w:szCs w:val="36"/>
            </w:rPr>
          </w:pPr>
          <w:r>
            <w:rPr>
              <w:rFonts w:asciiTheme="majorHAnsi" w:eastAsiaTheme="majorEastAsia" w:hAnsiTheme="majorHAnsi" w:cstheme="majorBidi"/>
              <w:b/>
              <w:caps/>
              <w:color w:val="365F91" w:themeColor="accent1" w:themeShade="BF"/>
            </w:rPr>
            <w:t xml:space="preserve">September 2019 </w:t>
          </w:r>
          <w:r w:rsidR="00B977AC" w:rsidRPr="005A64E2">
            <w:rPr>
              <w:rFonts w:asciiTheme="majorHAnsi" w:eastAsiaTheme="majorEastAsia" w:hAnsiTheme="majorHAnsi" w:cstheme="majorBidi"/>
              <w:b/>
              <w:caps/>
              <w:color w:val="365F91" w:themeColor="accent1" w:themeShade="BF"/>
            </w:rPr>
            <w:br w:type="page"/>
          </w:r>
        </w:p>
        <w:p w:rsidR="00B977AC" w:rsidRDefault="00062886">
          <w:pPr>
            <w:rPr>
              <w:rFonts w:asciiTheme="majorHAnsi" w:eastAsiaTheme="majorEastAsia" w:hAnsiTheme="majorHAnsi" w:cstheme="majorBidi"/>
              <w:caps/>
            </w:rPr>
          </w:pPr>
        </w:p>
      </w:sdtContent>
    </w:sdt>
    <w:p w:rsidR="004D7298" w:rsidRPr="004E703B" w:rsidRDefault="004D7298" w:rsidP="004D7298">
      <w:pPr>
        <w:pStyle w:val="NoSpacing"/>
        <w:rPr>
          <w:rFonts w:ascii="Calibri" w:hAnsi="Calibri" w:cs="Calibri"/>
          <w:color w:val="365F91" w:themeColor="accent1" w:themeShade="BF"/>
          <w:sz w:val="22"/>
        </w:rPr>
      </w:pPr>
      <w:r w:rsidRPr="004E703B">
        <w:rPr>
          <w:rFonts w:ascii="Calibri" w:hAnsi="Calibri" w:cs="Calibri"/>
          <w:noProof/>
          <w:sz w:val="22"/>
          <w:lang w:eastAsia="en-GB"/>
        </w:rPr>
        <w:drawing>
          <wp:anchor distT="0" distB="0" distL="114300" distR="114300" simplePos="0" relativeHeight="251665408" behindDoc="1" locked="0" layoutInCell="1" allowOverlap="1">
            <wp:simplePos x="0" y="0"/>
            <wp:positionH relativeFrom="margin">
              <wp:posOffset>4624705</wp:posOffset>
            </wp:positionH>
            <wp:positionV relativeFrom="paragraph">
              <wp:posOffset>-328295</wp:posOffset>
            </wp:positionV>
            <wp:extent cx="1680210" cy="943610"/>
            <wp:effectExtent l="19050" t="0" r="0" b="0"/>
            <wp:wrapTight wrapText="bothSides">
              <wp:wrapPolygon edited="0">
                <wp:start x="-245" y="0"/>
                <wp:lineTo x="-245" y="21367"/>
                <wp:lineTo x="21551" y="21367"/>
                <wp:lineTo x="21551" y="0"/>
                <wp:lineTo x="-245" y="0"/>
              </wp:wrapPolygon>
            </wp:wrapTight>
            <wp:docPr id="1"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9" cstate="print"/>
                    <a:srcRect/>
                    <a:stretch>
                      <a:fillRect/>
                    </a:stretch>
                  </pic:blipFill>
                  <pic:spPr bwMode="auto">
                    <a:xfrm>
                      <a:off x="0" y="0"/>
                      <a:ext cx="1680210" cy="943610"/>
                    </a:xfrm>
                    <a:prstGeom prst="rect">
                      <a:avLst/>
                    </a:prstGeom>
                    <a:noFill/>
                    <a:ln w="9525">
                      <a:noFill/>
                      <a:miter lim="800000"/>
                      <a:headEnd/>
                      <a:tailEnd/>
                    </a:ln>
                  </pic:spPr>
                </pic:pic>
              </a:graphicData>
            </a:graphic>
          </wp:anchor>
        </w:drawing>
      </w:r>
    </w:p>
    <w:sdt>
      <w:sdtPr>
        <w:rPr>
          <w:rFonts w:ascii="Verdana" w:eastAsiaTheme="minorHAnsi" w:hAnsi="Verdana" w:cstheme="minorBidi"/>
          <w:b w:val="0"/>
          <w:bCs w:val="0"/>
          <w:color w:val="auto"/>
          <w:sz w:val="24"/>
          <w:szCs w:val="22"/>
          <w:lang w:val="en-GB"/>
        </w:rPr>
        <w:id w:val="1153160"/>
        <w:docPartObj>
          <w:docPartGallery w:val="Table of Contents"/>
          <w:docPartUnique/>
        </w:docPartObj>
      </w:sdtPr>
      <w:sdtContent>
        <w:p w:rsidR="00DA136E" w:rsidRDefault="00DA136E">
          <w:pPr>
            <w:pStyle w:val="TOCHeading"/>
            <w:rPr>
              <w:rFonts w:ascii="Verdana" w:eastAsiaTheme="minorHAnsi" w:hAnsi="Verdana" w:cstheme="minorBidi"/>
              <w:b w:val="0"/>
              <w:bCs w:val="0"/>
              <w:color w:val="auto"/>
              <w:sz w:val="24"/>
              <w:szCs w:val="22"/>
              <w:lang w:val="en-GB"/>
            </w:rPr>
          </w:pPr>
        </w:p>
        <w:p w:rsidR="005A64E2" w:rsidRPr="005A64E2" w:rsidRDefault="005A64E2" w:rsidP="005A64E2"/>
        <w:p w:rsidR="00DA136E" w:rsidRDefault="00DA136E">
          <w:pPr>
            <w:pStyle w:val="TOCHeading"/>
          </w:pPr>
        </w:p>
        <w:p w:rsidR="00DA136E" w:rsidRDefault="00DA136E">
          <w:pPr>
            <w:pStyle w:val="TOCHeading"/>
          </w:pPr>
        </w:p>
        <w:p w:rsidR="004213D5" w:rsidRDefault="004213D5">
          <w:pPr>
            <w:pStyle w:val="TOCHeading"/>
          </w:pPr>
          <w:r>
            <w:t>Contents</w:t>
          </w:r>
        </w:p>
        <w:p w:rsidR="00DA136E" w:rsidRPr="00605008" w:rsidRDefault="00DA136E" w:rsidP="00DA136E"/>
        <w:p w:rsidR="00C7238F" w:rsidRDefault="00062886" w:rsidP="00777DC3">
          <w:pPr>
            <w:pStyle w:val="TOC2"/>
            <w:rPr>
              <w:rFonts w:asciiTheme="minorHAnsi" w:eastAsiaTheme="minorEastAsia" w:hAnsiTheme="minorHAnsi"/>
              <w:noProof/>
              <w:sz w:val="22"/>
              <w:lang w:eastAsia="en-GB"/>
            </w:rPr>
          </w:pPr>
          <w:r>
            <w:fldChar w:fldCharType="begin"/>
          </w:r>
          <w:r w:rsidR="004213D5">
            <w:instrText xml:space="preserve"> TOC \o "1-3" \h \z \u </w:instrText>
          </w:r>
          <w:r>
            <w:fldChar w:fldCharType="separate"/>
          </w:r>
          <w:hyperlink w:anchor="_Toc17971668" w:history="1">
            <w:r w:rsidR="00C7238F" w:rsidRPr="00F20F84">
              <w:rPr>
                <w:rStyle w:val="Hyperlink"/>
                <w:noProof/>
              </w:rPr>
              <w:t>1.</w:t>
            </w:r>
            <w:r w:rsidR="00C7238F">
              <w:rPr>
                <w:rFonts w:asciiTheme="minorHAnsi" w:eastAsiaTheme="minorEastAsia" w:hAnsiTheme="minorHAnsi"/>
                <w:noProof/>
                <w:sz w:val="22"/>
                <w:lang w:eastAsia="en-GB"/>
              </w:rPr>
              <w:tab/>
            </w:r>
            <w:r w:rsidR="00C7238F" w:rsidRPr="00F20F84">
              <w:rPr>
                <w:rStyle w:val="Hyperlink"/>
                <w:noProof/>
              </w:rPr>
              <w:t>Executive Summary</w:t>
            </w:r>
            <w:r w:rsidR="00C7238F">
              <w:rPr>
                <w:noProof/>
                <w:webHidden/>
              </w:rPr>
              <w:tab/>
            </w:r>
            <w:r>
              <w:rPr>
                <w:noProof/>
                <w:webHidden/>
              </w:rPr>
              <w:fldChar w:fldCharType="begin"/>
            </w:r>
            <w:r w:rsidR="00C7238F">
              <w:rPr>
                <w:noProof/>
                <w:webHidden/>
              </w:rPr>
              <w:instrText xml:space="preserve"> PAGEREF _Toc17971668 \h </w:instrText>
            </w:r>
            <w:r>
              <w:rPr>
                <w:noProof/>
                <w:webHidden/>
              </w:rPr>
            </w:r>
            <w:r>
              <w:rPr>
                <w:noProof/>
                <w:webHidden/>
              </w:rPr>
              <w:fldChar w:fldCharType="separate"/>
            </w:r>
            <w:r w:rsidR="00777DC3">
              <w:rPr>
                <w:noProof/>
                <w:webHidden/>
              </w:rPr>
              <w:t>1</w:t>
            </w:r>
            <w:r>
              <w:rPr>
                <w:noProof/>
                <w:webHidden/>
              </w:rPr>
              <w:fldChar w:fldCharType="end"/>
            </w:r>
          </w:hyperlink>
        </w:p>
        <w:p w:rsidR="00C7238F" w:rsidRDefault="00062886" w:rsidP="00777DC3">
          <w:pPr>
            <w:pStyle w:val="TOC2"/>
            <w:rPr>
              <w:rFonts w:asciiTheme="minorHAnsi" w:eastAsiaTheme="minorEastAsia" w:hAnsiTheme="minorHAnsi"/>
              <w:noProof/>
              <w:sz w:val="22"/>
              <w:lang w:eastAsia="en-GB"/>
            </w:rPr>
          </w:pPr>
          <w:hyperlink w:anchor="_Toc17971669" w:history="1">
            <w:r w:rsidR="00C7238F" w:rsidRPr="00F20F84">
              <w:rPr>
                <w:rStyle w:val="Hyperlink"/>
                <w:noProof/>
              </w:rPr>
              <w:t xml:space="preserve">2. </w:t>
            </w:r>
            <w:r w:rsidR="00C7238F">
              <w:rPr>
                <w:rFonts w:asciiTheme="minorHAnsi" w:eastAsiaTheme="minorEastAsia" w:hAnsiTheme="minorHAnsi"/>
                <w:noProof/>
                <w:sz w:val="22"/>
                <w:lang w:eastAsia="en-GB"/>
              </w:rPr>
              <w:tab/>
            </w:r>
            <w:r w:rsidR="00C7238F" w:rsidRPr="00F20F84">
              <w:rPr>
                <w:rStyle w:val="Hyperlink"/>
                <w:noProof/>
              </w:rPr>
              <w:t>Sharing Investment in the Community</w:t>
            </w:r>
            <w:r w:rsidR="00C7238F">
              <w:rPr>
                <w:noProof/>
                <w:webHidden/>
              </w:rPr>
              <w:tab/>
            </w:r>
            <w:r>
              <w:rPr>
                <w:noProof/>
                <w:webHidden/>
              </w:rPr>
              <w:fldChar w:fldCharType="begin"/>
            </w:r>
            <w:r w:rsidR="00C7238F">
              <w:rPr>
                <w:noProof/>
                <w:webHidden/>
              </w:rPr>
              <w:instrText xml:space="preserve"> PAGEREF _Toc17971669 \h </w:instrText>
            </w:r>
            <w:r>
              <w:rPr>
                <w:noProof/>
                <w:webHidden/>
              </w:rPr>
            </w:r>
            <w:r>
              <w:rPr>
                <w:noProof/>
                <w:webHidden/>
              </w:rPr>
              <w:fldChar w:fldCharType="separate"/>
            </w:r>
            <w:r w:rsidR="00777DC3">
              <w:rPr>
                <w:noProof/>
                <w:webHidden/>
              </w:rPr>
              <w:t>2</w:t>
            </w:r>
            <w:r>
              <w:rPr>
                <w:noProof/>
                <w:webHidden/>
              </w:rPr>
              <w:fldChar w:fldCharType="end"/>
            </w:r>
          </w:hyperlink>
        </w:p>
        <w:p w:rsidR="00C7238F" w:rsidRDefault="00062886" w:rsidP="00777DC3">
          <w:pPr>
            <w:pStyle w:val="TOC2"/>
            <w:rPr>
              <w:rFonts w:asciiTheme="minorHAnsi" w:eastAsiaTheme="minorEastAsia" w:hAnsiTheme="minorHAnsi"/>
              <w:noProof/>
              <w:sz w:val="22"/>
              <w:lang w:eastAsia="en-GB"/>
            </w:rPr>
          </w:pPr>
          <w:hyperlink w:anchor="_Toc17971670" w:history="1">
            <w:r w:rsidR="00C7238F" w:rsidRPr="00F20F84">
              <w:rPr>
                <w:rStyle w:val="Hyperlink"/>
                <w:noProof/>
              </w:rPr>
              <w:t>3</w:t>
            </w:r>
            <w:r w:rsidR="00C7238F">
              <w:rPr>
                <w:rFonts w:asciiTheme="minorHAnsi" w:eastAsiaTheme="minorEastAsia" w:hAnsiTheme="minorHAnsi"/>
                <w:noProof/>
                <w:sz w:val="22"/>
                <w:lang w:eastAsia="en-GB"/>
              </w:rPr>
              <w:tab/>
            </w:r>
            <w:r w:rsidR="00C7238F" w:rsidRPr="00F20F84">
              <w:rPr>
                <w:rStyle w:val="Hyperlink"/>
                <w:noProof/>
              </w:rPr>
              <w:t>Actions – Community Investment</w:t>
            </w:r>
            <w:r w:rsidR="00C7238F">
              <w:rPr>
                <w:noProof/>
                <w:webHidden/>
              </w:rPr>
              <w:tab/>
            </w:r>
            <w:r>
              <w:rPr>
                <w:noProof/>
                <w:webHidden/>
              </w:rPr>
              <w:fldChar w:fldCharType="begin"/>
            </w:r>
            <w:r w:rsidR="00C7238F">
              <w:rPr>
                <w:noProof/>
                <w:webHidden/>
              </w:rPr>
              <w:instrText xml:space="preserve"> PAGEREF _Toc17971670 \h </w:instrText>
            </w:r>
            <w:r>
              <w:rPr>
                <w:noProof/>
                <w:webHidden/>
              </w:rPr>
            </w:r>
            <w:r>
              <w:rPr>
                <w:noProof/>
                <w:webHidden/>
              </w:rPr>
              <w:fldChar w:fldCharType="separate"/>
            </w:r>
            <w:r w:rsidR="00777DC3">
              <w:rPr>
                <w:noProof/>
                <w:webHidden/>
              </w:rPr>
              <w:t>6</w:t>
            </w:r>
            <w:r>
              <w:rPr>
                <w:noProof/>
                <w:webHidden/>
              </w:rPr>
              <w:fldChar w:fldCharType="end"/>
            </w:r>
          </w:hyperlink>
        </w:p>
        <w:p w:rsidR="00C7238F" w:rsidRDefault="00062886" w:rsidP="00777DC3">
          <w:pPr>
            <w:pStyle w:val="TOC2"/>
            <w:rPr>
              <w:rFonts w:asciiTheme="minorHAnsi" w:eastAsiaTheme="minorEastAsia" w:hAnsiTheme="minorHAnsi"/>
              <w:noProof/>
              <w:sz w:val="22"/>
              <w:lang w:eastAsia="en-GB"/>
            </w:rPr>
          </w:pPr>
          <w:hyperlink w:anchor="_Toc17971671" w:history="1">
            <w:r w:rsidR="00C7238F" w:rsidRPr="00F20F84">
              <w:rPr>
                <w:rStyle w:val="Hyperlink"/>
                <w:noProof/>
              </w:rPr>
              <w:t>4</w:t>
            </w:r>
            <w:r w:rsidR="00C7238F">
              <w:rPr>
                <w:rFonts w:asciiTheme="minorHAnsi" w:eastAsiaTheme="minorEastAsia" w:hAnsiTheme="minorHAnsi"/>
                <w:noProof/>
                <w:sz w:val="22"/>
                <w:lang w:eastAsia="en-GB"/>
              </w:rPr>
              <w:tab/>
            </w:r>
            <w:r w:rsidR="00C7238F" w:rsidRPr="00F20F84">
              <w:rPr>
                <w:rStyle w:val="Hyperlink"/>
                <w:noProof/>
              </w:rPr>
              <w:t>Overall Outcomes 2024/5</w:t>
            </w:r>
            <w:r w:rsidR="00C7238F">
              <w:rPr>
                <w:noProof/>
                <w:webHidden/>
              </w:rPr>
              <w:tab/>
            </w:r>
            <w:r>
              <w:rPr>
                <w:noProof/>
                <w:webHidden/>
              </w:rPr>
              <w:fldChar w:fldCharType="begin"/>
            </w:r>
            <w:r w:rsidR="00C7238F">
              <w:rPr>
                <w:noProof/>
                <w:webHidden/>
              </w:rPr>
              <w:instrText xml:space="preserve"> PAGEREF _Toc17971671 \h </w:instrText>
            </w:r>
            <w:r>
              <w:rPr>
                <w:noProof/>
                <w:webHidden/>
              </w:rPr>
            </w:r>
            <w:r>
              <w:rPr>
                <w:noProof/>
                <w:webHidden/>
              </w:rPr>
              <w:fldChar w:fldCharType="separate"/>
            </w:r>
            <w:r w:rsidR="00777DC3">
              <w:rPr>
                <w:noProof/>
                <w:webHidden/>
              </w:rPr>
              <w:t>10</w:t>
            </w:r>
            <w:r>
              <w:rPr>
                <w:noProof/>
                <w:webHidden/>
              </w:rPr>
              <w:fldChar w:fldCharType="end"/>
            </w:r>
          </w:hyperlink>
        </w:p>
        <w:p w:rsidR="00C7238F" w:rsidRDefault="00062886" w:rsidP="00777DC3">
          <w:pPr>
            <w:pStyle w:val="TOC2"/>
            <w:rPr>
              <w:rStyle w:val="Hyperlink"/>
              <w:noProof/>
            </w:rPr>
          </w:pPr>
          <w:hyperlink w:anchor="_Toc17971672" w:history="1">
            <w:r w:rsidR="00C7238F" w:rsidRPr="00F20F84">
              <w:rPr>
                <w:rStyle w:val="Hyperlink"/>
                <w:noProof/>
              </w:rPr>
              <w:t>5</w:t>
            </w:r>
            <w:r w:rsidR="00C7238F">
              <w:rPr>
                <w:rFonts w:asciiTheme="minorHAnsi" w:eastAsiaTheme="minorEastAsia" w:hAnsiTheme="minorHAnsi"/>
                <w:noProof/>
                <w:sz w:val="22"/>
                <w:lang w:eastAsia="en-GB"/>
              </w:rPr>
              <w:tab/>
            </w:r>
            <w:r w:rsidR="00C7238F" w:rsidRPr="00F20F84">
              <w:rPr>
                <w:rStyle w:val="Hyperlink"/>
                <w:noProof/>
              </w:rPr>
              <w:t>Operational Issues and Accountability</w:t>
            </w:r>
            <w:r w:rsidR="00C7238F">
              <w:rPr>
                <w:noProof/>
                <w:webHidden/>
              </w:rPr>
              <w:tab/>
            </w:r>
            <w:r>
              <w:rPr>
                <w:noProof/>
                <w:webHidden/>
              </w:rPr>
              <w:fldChar w:fldCharType="begin"/>
            </w:r>
            <w:r w:rsidR="00C7238F">
              <w:rPr>
                <w:noProof/>
                <w:webHidden/>
              </w:rPr>
              <w:instrText xml:space="preserve"> PAGEREF _Toc17971672 \h </w:instrText>
            </w:r>
            <w:r>
              <w:rPr>
                <w:noProof/>
                <w:webHidden/>
              </w:rPr>
            </w:r>
            <w:r>
              <w:rPr>
                <w:noProof/>
                <w:webHidden/>
              </w:rPr>
              <w:fldChar w:fldCharType="separate"/>
            </w:r>
            <w:r w:rsidR="00777DC3">
              <w:rPr>
                <w:noProof/>
                <w:webHidden/>
              </w:rPr>
              <w:t>11</w:t>
            </w:r>
            <w:r>
              <w:rPr>
                <w:noProof/>
                <w:webHidden/>
              </w:rPr>
              <w:fldChar w:fldCharType="end"/>
            </w:r>
          </w:hyperlink>
        </w:p>
        <w:p w:rsidR="00C7238F" w:rsidRDefault="00C7238F" w:rsidP="00C7238F">
          <w:pPr>
            <w:rPr>
              <w:noProof/>
            </w:rPr>
          </w:pPr>
        </w:p>
        <w:p w:rsidR="00C7238F" w:rsidRPr="00C7238F" w:rsidRDefault="00C7238F" w:rsidP="00C7238F">
          <w:pPr>
            <w:rPr>
              <w:noProof/>
            </w:rPr>
          </w:pPr>
        </w:p>
        <w:p w:rsidR="00C7238F" w:rsidRDefault="00062886" w:rsidP="00777DC3">
          <w:pPr>
            <w:pStyle w:val="TOC2"/>
            <w:ind w:left="851"/>
            <w:rPr>
              <w:rFonts w:asciiTheme="minorHAnsi" w:eastAsiaTheme="minorEastAsia" w:hAnsiTheme="minorHAnsi"/>
              <w:noProof/>
              <w:sz w:val="22"/>
              <w:lang w:eastAsia="en-GB"/>
            </w:rPr>
          </w:pPr>
          <w:hyperlink w:anchor="_Toc17971673" w:history="1">
            <w:r w:rsidR="00C7238F" w:rsidRPr="00F20F84">
              <w:rPr>
                <w:rStyle w:val="Hyperlink"/>
                <w:noProof/>
              </w:rPr>
              <w:t>Appendix 1: Battersea Youth Voice</w:t>
            </w:r>
            <w:r w:rsidR="00C7238F">
              <w:rPr>
                <w:noProof/>
                <w:webHidden/>
              </w:rPr>
              <w:tab/>
            </w:r>
            <w:r>
              <w:rPr>
                <w:noProof/>
                <w:webHidden/>
              </w:rPr>
              <w:fldChar w:fldCharType="begin"/>
            </w:r>
            <w:r w:rsidR="00C7238F">
              <w:rPr>
                <w:noProof/>
                <w:webHidden/>
              </w:rPr>
              <w:instrText xml:space="preserve"> PAGEREF _Toc17971673 \h </w:instrText>
            </w:r>
            <w:r>
              <w:rPr>
                <w:noProof/>
                <w:webHidden/>
              </w:rPr>
            </w:r>
            <w:r>
              <w:rPr>
                <w:noProof/>
                <w:webHidden/>
              </w:rPr>
              <w:fldChar w:fldCharType="separate"/>
            </w:r>
            <w:r w:rsidR="00777DC3">
              <w:rPr>
                <w:noProof/>
                <w:webHidden/>
              </w:rPr>
              <w:t>12</w:t>
            </w:r>
            <w:r>
              <w:rPr>
                <w:noProof/>
                <w:webHidden/>
              </w:rPr>
              <w:fldChar w:fldCharType="end"/>
            </w:r>
          </w:hyperlink>
        </w:p>
        <w:p w:rsidR="00C7238F" w:rsidRDefault="00062886" w:rsidP="00777DC3">
          <w:pPr>
            <w:pStyle w:val="TOC2"/>
            <w:ind w:left="851"/>
            <w:rPr>
              <w:rFonts w:asciiTheme="minorHAnsi" w:eastAsiaTheme="minorEastAsia" w:hAnsiTheme="minorHAnsi"/>
              <w:noProof/>
              <w:sz w:val="22"/>
              <w:lang w:eastAsia="en-GB"/>
            </w:rPr>
          </w:pPr>
          <w:hyperlink w:anchor="_Toc17971674" w:history="1">
            <w:r w:rsidR="00C7238F" w:rsidRPr="00F20F84">
              <w:rPr>
                <w:rStyle w:val="Hyperlink"/>
                <w:rFonts w:cs="Calibri"/>
                <w:noProof/>
              </w:rPr>
              <w:t>Appendix 2: Future Years, Projects and Themes</w:t>
            </w:r>
            <w:r w:rsidR="00C7238F">
              <w:rPr>
                <w:noProof/>
                <w:webHidden/>
              </w:rPr>
              <w:tab/>
            </w:r>
            <w:r>
              <w:rPr>
                <w:noProof/>
                <w:webHidden/>
              </w:rPr>
              <w:fldChar w:fldCharType="begin"/>
            </w:r>
            <w:r w:rsidR="00C7238F">
              <w:rPr>
                <w:noProof/>
                <w:webHidden/>
              </w:rPr>
              <w:instrText xml:space="preserve"> PAGEREF _Toc17971674 \h </w:instrText>
            </w:r>
            <w:r>
              <w:rPr>
                <w:noProof/>
                <w:webHidden/>
              </w:rPr>
            </w:r>
            <w:r>
              <w:rPr>
                <w:noProof/>
                <w:webHidden/>
              </w:rPr>
              <w:fldChar w:fldCharType="separate"/>
            </w:r>
            <w:r w:rsidR="00777DC3">
              <w:rPr>
                <w:noProof/>
                <w:webHidden/>
              </w:rPr>
              <w:t>15</w:t>
            </w:r>
            <w:r>
              <w:rPr>
                <w:noProof/>
                <w:webHidden/>
              </w:rPr>
              <w:fldChar w:fldCharType="end"/>
            </w:r>
          </w:hyperlink>
        </w:p>
        <w:p w:rsidR="00C7238F" w:rsidRDefault="00062886" w:rsidP="00777DC3">
          <w:pPr>
            <w:pStyle w:val="TOC2"/>
            <w:ind w:left="851"/>
            <w:rPr>
              <w:rFonts w:asciiTheme="minorHAnsi" w:eastAsiaTheme="minorEastAsia" w:hAnsiTheme="minorHAnsi"/>
              <w:noProof/>
              <w:sz w:val="22"/>
              <w:lang w:eastAsia="en-GB"/>
            </w:rPr>
          </w:pPr>
          <w:hyperlink w:anchor="_Toc17971675" w:history="1">
            <w:r w:rsidR="00C7238F" w:rsidRPr="00F20F84">
              <w:rPr>
                <w:rStyle w:val="Hyperlink"/>
                <w:noProof/>
              </w:rPr>
              <w:t>Appendix 3: BLSW11 Alliance Strategy</w:t>
            </w:r>
            <w:r w:rsidR="00C7238F">
              <w:rPr>
                <w:noProof/>
                <w:webHidden/>
              </w:rPr>
              <w:tab/>
            </w:r>
            <w:r>
              <w:rPr>
                <w:noProof/>
                <w:webHidden/>
              </w:rPr>
              <w:fldChar w:fldCharType="begin"/>
            </w:r>
            <w:r w:rsidR="00C7238F">
              <w:rPr>
                <w:noProof/>
                <w:webHidden/>
              </w:rPr>
              <w:instrText xml:space="preserve"> PAGEREF _Toc17971675 \h </w:instrText>
            </w:r>
            <w:r>
              <w:rPr>
                <w:noProof/>
                <w:webHidden/>
              </w:rPr>
            </w:r>
            <w:r>
              <w:rPr>
                <w:noProof/>
                <w:webHidden/>
              </w:rPr>
              <w:fldChar w:fldCharType="separate"/>
            </w:r>
            <w:r w:rsidR="00777DC3">
              <w:rPr>
                <w:noProof/>
                <w:webHidden/>
              </w:rPr>
              <w:t>18</w:t>
            </w:r>
            <w:r>
              <w:rPr>
                <w:noProof/>
                <w:webHidden/>
              </w:rPr>
              <w:fldChar w:fldCharType="end"/>
            </w:r>
          </w:hyperlink>
        </w:p>
        <w:p w:rsidR="00C7238F" w:rsidRDefault="00062886" w:rsidP="00777DC3">
          <w:pPr>
            <w:pStyle w:val="TOC2"/>
            <w:ind w:left="851"/>
            <w:rPr>
              <w:rFonts w:asciiTheme="minorHAnsi" w:eastAsiaTheme="minorEastAsia" w:hAnsiTheme="minorHAnsi"/>
              <w:noProof/>
              <w:sz w:val="22"/>
              <w:lang w:eastAsia="en-GB"/>
            </w:rPr>
          </w:pPr>
          <w:hyperlink w:anchor="_Toc17971676" w:history="1">
            <w:r w:rsidR="00C7238F" w:rsidRPr="00F20F84">
              <w:rPr>
                <w:rStyle w:val="Hyperlink"/>
                <w:noProof/>
              </w:rPr>
              <w:t>Appendix 4: State of the Community Voluntary Sector in SW11</w:t>
            </w:r>
            <w:r w:rsidR="00C7238F">
              <w:rPr>
                <w:noProof/>
                <w:webHidden/>
              </w:rPr>
              <w:tab/>
            </w:r>
            <w:r>
              <w:rPr>
                <w:noProof/>
                <w:webHidden/>
              </w:rPr>
              <w:fldChar w:fldCharType="begin"/>
            </w:r>
            <w:r w:rsidR="00C7238F">
              <w:rPr>
                <w:noProof/>
                <w:webHidden/>
              </w:rPr>
              <w:instrText xml:space="preserve"> PAGEREF _Toc17971676 \h </w:instrText>
            </w:r>
            <w:r>
              <w:rPr>
                <w:noProof/>
                <w:webHidden/>
              </w:rPr>
            </w:r>
            <w:r>
              <w:rPr>
                <w:noProof/>
                <w:webHidden/>
              </w:rPr>
              <w:fldChar w:fldCharType="separate"/>
            </w:r>
            <w:r w:rsidR="00777DC3">
              <w:rPr>
                <w:noProof/>
                <w:webHidden/>
              </w:rPr>
              <w:t>19</w:t>
            </w:r>
            <w:r>
              <w:rPr>
                <w:noProof/>
                <w:webHidden/>
              </w:rPr>
              <w:fldChar w:fldCharType="end"/>
            </w:r>
          </w:hyperlink>
        </w:p>
        <w:p w:rsidR="00C7238F" w:rsidRDefault="00062886" w:rsidP="00777DC3">
          <w:pPr>
            <w:pStyle w:val="TOC2"/>
            <w:ind w:left="851"/>
            <w:rPr>
              <w:rFonts w:asciiTheme="minorHAnsi" w:eastAsiaTheme="minorEastAsia" w:hAnsiTheme="minorHAnsi"/>
              <w:noProof/>
              <w:sz w:val="22"/>
              <w:lang w:eastAsia="en-GB"/>
            </w:rPr>
          </w:pPr>
          <w:hyperlink w:anchor="_Toc17971677" w:history="1">
            <w:r w:rsidR="00C7238F" w:rsidRPr="00F20F84">
              <w:rPr>
                <w:rStyle w:val="Hyperlink"/>
                <w:noProof/>
              </w:rPr>
              <w:t>Appendix 5: JV and BLSW11 Areas of Impact/Influence</w:t>
            </w:r>
            <w:r w:rsidR="00C7238F">
              <w:rPr>
                <w:noProof/>
                <w:webHidden/>
              </w:rPr>
              <w:tab/>
            </w:r>
            <w:r>
              <w:rPr>
                <w:noProof/>
                <w:webHidden/>
              </w:rPr>
              <w:fldChar w:fldCharType="begin"/>
            </w:r>
            <w:r w:rsidR="00C7238F">
              <w:rPr>
                <w:noProof/>
                <w:webHidden/>
              </w:rPr>
              <w:instrText xml:space="preserve"> PAGEREF _Toc17971677 \h </w:instrText>
            </w:r>
            <w:r>
              <w:rPr>
                <w:noProof/>
                <w:webHidden/>
              </w:rPr>
            </w:r>
            <w:r>
              <w:rPr>
                <w:noProof/>
                <w:webHidden/>
              </w:rPr>
              <w:fldChar w:fldCharType="separate"/>
            </w:r>
            <w:r w:rsidR="00777DC3">
              <w:rPr>
                <w:noProof/>
                <w:webHidden/>
              </w:rPr>
              <w:t>20</w:t>
            </w:r>
            <w:r>
              <w:rPr>
                <w:noProof/>
                <w:webHidden/>
              </w:rPr>
              <w:fldChar w:fldCharType="end"/>
            </w:r>
          </w:hyperlink>
        </w:p>
        <w:p w:rsidR="004213D5" w:rsidRDefault="00062886">
          <w:r>
            <w:fldChar w:fldCharType="end"/>
          </w:r>
        </w:p>
      </w:sdtContent>
    </w:sdt>
    <w:p w:rsidR="00066A33" w:rsidRDefault="004230C5">
      <w:pPr>
        <w:rPr>
          <w:rFonts w:cs="Calibri"/>
          <w:b/>
          <w:color w:val="365F91" w:themeColor="accent1" w:themeShade="BF"/>
          <w:szCs w:val="24"/>
        </w:rPr>
        <w:sectPr w:rsidR="00066A33" w:rsidSect="00066A3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709" w:left="1134" w:header="708" w:footer="708" w:gutter="0"/>
          <w:pgNumType w:fmt="lowerRoman" w:start="1"/>
          <w:cols w:space="708"/>
          <w:titlePg/>
          <w:docGrid w:linePitch="360"/>
        </w:sectPr>
      </w:pPr>
      <w:r>
        <w:rPr>
          <w:rFonts w:cs="Calibri"/>
          <w:b/>
          <w:color w:val="365F91" w:themeColor="accent1" w:themeShade="BF"/>
          <w:szCs w:val="24"/>
        </w:rPr>
        <w:br w:type="page"/>
      </w:r>
    </w:p>
    <w:p w:rsidR="004230C5" w:rsidRDefault="008D69B7">
      <w:pPr>
        <w:rPr>
          <w:rFonts w:cs="Calibri"/>
          <w:b/>
          <w:color w:val="365F91" w:themeColor="accent1" w:themeShade="BF"/>
          <w:szCs w:val="24"/>
        </w:rPr>
      </w:pPr>
      <w:r>
        <w:rPr>
          <w:rFonts w:cs="Calibri"/>
          <w:b/>
          <w:noProof/>
          <w:color w:val="365F91" w:themeColor="accent1" w:themeShade="BF"/>
          <w:szCs w:val="24"/>
          <w:lang w:eastAsia="en-GB"/>
        </w:rPr>
        <w:lastRenderedPageBreak/>
        <w:drawing>
          <wp:anchor distT="0" distB="0" distL="114300" distR="114300" simplePos="0" relativeHeight="251675648" behindDoc="1" locked="0" layoutInCell="1" allowOverlap="1">
            <wp:simplePos x="0" y="0"/>
            <wp:positionH relativeFrom="margin">
              <wp:posOffset>4994910</wp:posOffset>
            </wp:positionH>
            <wp:positionV relativeFrom="paragraph">
              <wp:posOffset>-249555</wp:posOffset>
            </wp:positionV>
            <wp:extent cx="1485900" cy="838200"/>
            <wp:effectExtent l="19050" t="0" r="0" b="0"/>
            <wp:wrapTight wrapText="bothSides">
              <wp:wrapPolygon edited="0">
                <wp:start x="-277" y="0"/>
                <wp:lineTo x="-277" y="21109"/>
                <wp:lineTo x="21600" y="21109"/>
                <wp:lineTo x="21600" y="0"/>
                <wp:lineTo x="-277" y="0"/>
              </wp:wrapPolygon>
            </wp:wrapTight>
            <wp:docPr id="6"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9" cstate="print"/>
                    <a:srcRect/>
                    <a:stretch>
                      <a:fillRect/>
                    </a:stretch>
                  </pic:blipFill>
                  <pic:spPr bwMode="auto">
                    <a:xfrm>
                      <a:off x="0" y="0"/>
                      <a:ext cx="1485900" cy="838200"/>
                    </a:xfrm>
                    <a:prstGeom prst="rect">
                      <a:avLst/>
                    </a:prstGeom>
                    <a:noFill/>
                    <a:ln w="9525">
                      <a:noFill/>
                      <a:miter lim="800000"/>
                      <a:headEnd/>
                      <a:tailEnd/>
                    </a:ln>
                  </pic:spPr>
                </pic:pic>
              </a:graphicData>
            </a:graphic>
          </wp:anchor>
        </w:drawing>
      </w:r>
    </w:p>
    <w:p w:rsidR="009F72DD" w:rsidRPr="00BF40FF" w:rsidRDefault="004B66A9" w:rsidP="00494E4B">
      <w:pPr>
        <w:pStyle w:val="Heading2"/>
        <w:numPr>
          <w:ilvl w:val="0"/>
          <w:numId w:val="41"/>
        </w:numPr>
        <w:ind w:left="709" w:hanging="709"/>
        <w:rPr>
          <w:sz w:val="32"/>
          <w:szCs w:val="32"/>
        </w:rPr>
      </w:pPr>
      <w:bookmarkStart w:id="0" w:name="_Toc17971668"/>
      <w:r w:rsidRPr="00BF40FF">
        <w:rPr>
          <w:sz w:val="32"/>
          <w:szCs w:val="32"/>
        </w:rPr>
        <w:t xml:space="preserve">Executive </w:t>
      </w:r>
      <w:r w:rsidR="00E55930" w:rsidRPr="00BF40FF">
        <w:rPr>
          <w:sz w:val="32"/>
          <w:szCs w:val="32"/>
        </w:rPr>
        <w:t>Summary</w:t>
      </w:r>
      <w:bookmarkEnd w:id="0"/>
    </w:p>
    <w:p w:rsidR="00E55930" w:rsidRPr="009F72DD" w:rsidRDefault="00E55930" w:rsidP="009F72DD">
      <w:pPr>
        <w:pStyle w:val="ListParagraph"/>
        <w:ind w:left="360"/>
        <w:rPr>
          <w:rFonts w:cs="Calibri"/>
          <w:b/>
          <w:color w:val="365F91" w:themeColor="accent1" w:themeShade="BF"/>
          <w:szCs w:val="24"/>
        </w:rPr>
      </w:pPr>
      <w:r w:rsidRPr="009F72DD">
        <w:rPr>
          <w:rFonts w:cs="Calibri"/>
          <w:b/>
          <w:color w:val="365F91" w:themeColor="accent1" w:themeShade="BF"/>
          <w:szCs w:val="24"/>
        </w:rPr>
        <w:t xml:space="preserve"> </w:t>
      </w:r>
    </w:p>
    <w:p w:rsidR="006A609F" w:rsidRDefault="0060491F" w:rsidP="0075151E">
      <w:pPr>
        <w:pStyle w:val="ListParagraph"/>
        <w:numPr>
          <w:ilvl w:val="0"/>
          <w:numId w:val="35"/>
        </w:numPr>
        <w:spacing w:before="120" w:after="120" w:line="240" w:lineRule="auto"/>
        <w:ind w:left="709" w:hanging="709"/>
        <w:rPr>
          <w:rFonts w:cs="Calibri"/>
          <w:szCs w:val="24"/>
        </w:rPr>
      </w:pPr>
      <w:r w:rsidRPr="005D6522">
        <w:rPr>
          <w:rFonts w:cs="Calibri"/>
          <w:szCs w:val="24"/>
        </w:rPr>
        <w:t xml:space="preserve">A previous report to the Joint Venture (JV) set out the rationale for a Partnership with the Big Local SW11 Alliance that could build </w:t>
      </w:r>
      <w:r w:rsidRPr="00CA4FC0">
        <w:rPr>
          <w:rFonts w:cs="Calibri"/>
          <w:b/>
          <w:color w:val="0070C0"/>
          <w:szCs w:val="24"/>
        </w:rPr>
        <w:t>social capital</w:t>
      </w:r>
      <w:r w:rsidR="008E5D2D" w:rsidRPr="005D6522">
        <w:rPr>
          <w:rFonts w:cs="Calibri"/>
          <w:szCs w:val="24"/>
        </w:rPr>
        <w:t xml:space="preserve"> and through</w:t>
      </w:r>
      <w:r w:rsidR="009F72DD" w:rsidRPr="005D6522">
        <w:rPr>
          <w:rFonts w:cs="Calibri"/>
          <w:szCs w:val="24"/>
        </w:rPr>
        <w:t xml:space="preserve"> preventative measures ‘save’ £13</w:t>
      </w:r>
      <w:r w:rsidR="008E5D2D" w:rsidRPr="005D6522">
        <w:rPr>
          <w:rFonts w:cs="Calibri"/>
          <w:szCs w:val="24"/>
        </w:rPr>
        <w:t>m in</w:t>
      </w:r>
      <w:r w:rsidR="00172144" w:rsidRPr="005D6522">
        <w:rPr>
          <w:rFonts w:cs="Calibri"/>
          <w:szCs w:val="24"/>
        </w:rPr>
        <w:t xml:space="preserve"> costs</w:t>
      </w:r>
      <w:r w:rsidR="003B6814">
        <w:rPr>
          <w:rFonts w:cs="Calibri"/>
          <w:szCs w:val="24"/>
        </w:rPr>
        <w:t>.</w:t>
      </w:r>
    </w:p>
    <w:p w:rsidR="007A6CBC" w:rsidRDefault="005D6522" w:rsidP="0075151E">
      <w:pPr>
        <w:spacing w:before="120" w:after="120" w:line="240" w:lineRule="auto"/>
        <w:ind w:left="709" w:hanging="709"/>
        <w:rPr>
          <w:rFonts w:cs="Calibri"/>
          <w:szCs w:val="24"/>
        </w:rPr>
      </w:pPr>
      <w:r>
        <w:rPr>
          <w:rFonts w:cs="Calibri"/>
          <w:szCs w:val="24"/>
        </w:rPr>
        <w:t>1.2</w:t>
      </w:r>
      <w:r>
        <w:rPr>
          <w:rFonts w:cs="Calibri"/>
          <w:szCs w:val="24"/>
        </w:rPr>
        <w:tab/>
        <w:t>B</w:t>
      </w:r>
      <w:r w:rsidR="007A6CBC" w:rsidRPr="009F72DD">
        <w:rPr>
          <w:rFonts w:cs="Calibri"/>
          <w:szCs w:val="24"/>
        </w:rPr>
        <w:t xml:space="preserve">LSW11 is committing £500,000 over three years </w:t>
      </w:r>
      <w:r w:rsidR="00A13893">
        <w:rPr>
          <w:rFonts w:cs="Calibri"/>
          <w:szCs w:val="24"/>
        </w:rPr>
        <w:t xml:space="preserve">for a range of initiatives all directed towards strengthening the community in SW11 </w:t>
      </w:r>
      <w:r w:rsidR="007A6CBC" w:rsidRPr="009F72DD">
        <w:rPr>
          <w:rFonts w:cs="Calibri"/>
          <w:szCs w:val="24"/>
        </w:rPr>
        <w:t xml:space="preserve">and is seeking </w:t>
      </w:r>
      <w:r w:rsidR="007A6CBC" w:rsidRPr="005E3501">
        <w:rPr>
          <w:rFonts w:cs="Calibri"/>
          <w:b/>
          <w:color w:val="365F91" w:themeColor="accent1" w:themeShade="BF"/>
          <w:szCs w:val="24"/>
        </w:rPr>
        <w:t>match funding from the JV</w:t>
      </w:r>
      <w:r w:rsidR="002477D1">
        <w:rPr>
          <w:rFonts w:cs="Calibri"/>
          <w:szCs w:val="24"/>
        </w:rPr>
        <w:t>.</w:t>
      </w:r>
      <w:r w:rsidR="00CA4FC0">
        <w:rPr>
          <w:rFonts w:cs="Calibri"/>
          <w:szCs w:val="24"/>
        </w:rPr>
        <w:t xml:space="preserve"> Our Strategy has a </w:t>
      </w:r>
      <w:r w:rsidR="00256C6B">
        <w:rPr>
          <w:rFonts w:cs="Calibri"/>
          <w:szCs w:val="24"/>
        </w:rPr>
        <w:t>5</w:t>
      </w:r>
      <w:r w:rsidR="00CA4FC0">
        <w:rPr>
          <w:rFonts w:cs="Calibri"/>
          <w:szCs w:val="24"/>
        </w:rPr>
        <w:t xml:space="preserve"> to </w:t>
      </w:r>
      <w:r w:rsidR="00256C6B">
        <w:rPr>
          <w:rFonts w:cs="Calibri"/>
          <w:szCs w:val="24"/>
        </w:rPr>
        <w:t>6</w:t>
      </w:r>
      <w:r w:rsidR="00CA4FC0">
        <w:rPr>
          <w:rFonts w:cs="Calibri"/>
          <w:szCs w:val="24"/>
        </w:rPr>
        <w:t xml:space="preserve"> year time frame.</w:t>
      </w:r>
      <w:r w:rsidR="00A13893" w:rsidRPr="00A13893">
        <w:rPr>
          <w:rFonts w:cs="Calibri"/>
          <w:szCs w:val="24"/>
        </w:rPr>
        <w:t xml:space="preserve"> </w:t>
      </w:r>
      <w:r w:rsidR="00A13893">
        <w:rPr>
          <w:rFonts w:cs="Calibri"/>
          <w:szCs w:val="24"/>
        </w:rPr>
        <w:t>Our aim is to use our combined resources secure an additional investment of £4m+ by 2021</w:t>
      </w:r>
      <w:r w:rsidR="00E724DC">
        <w:rPr>
          <w:rFonts w:cs="Calibri"/>
          <w:szCs w:val="24"/>
        </w:rPr>
        <w:t>.</w:t>
      </w:r>
    </w:p>
    <w:p w:rsidR="008C764C" w:rsidRDefault="002477D1" w:rsidP="00A13893">
      <w:pPr>
        <w:spacing w:before="120" w:after="120" w:line="240" w:lineRule="auto"/>
        <w:ind w:left="709" w:hanging="709"/>
        <w:rPr>
          <w:rFonts w:cs="Calibri"/>
          <w:szCs w:val="24"/>
        </w:rPr>
      </w:pPr>
      <w:r>
        <w:rPr>
          <w:rFonts w:cs="Calibri"/>
          <w:szCs w:val="24"/>
        </w:rPr>
        <w:t>1.3</w:t>
      </w:r>
      <w:r>
        <w:rPr>
          <w:rFonts w:cs="Calibri"/>
          <w:szCs w:val="24"/>
        </w:rPr>
        <w:tab/>
      </w:r>
      <w:r w:rsidRPr="00A32CFF">
        <w:rPr>
          <w:rFonts w:cs="Calibri"/>
          <w:szCs w:val="24"/>
        </w:rPr>
        <w:t xml:space="preserve">The </w:t>
      </w:r>
      <w:r w:rsidR="00E724DC">
        <w:rPr>
          <w:rFonts w:cs="Calibri"/>
          <w:szCs w:val="24"/>
        </w:rPr>
        <w:t xml:space="preserve">BLSW11 </w:t>
      </w:r>
      <w:r w:rsidRPr="00A32CFF">
        <w:rPr>
          <w:rFonts w:cs="Calibri"/>
          <w:szCs w:val="24"/>
        </w:rPr>
        <w:t xml:space="preserve">Alliance </w:t>
      </w:r>
      <w:r w:rsidR="00A32CFF" w:rsidRPr="00A32CFF">
        <w:rPr>
          <w:rFonts w:cs="Calibri"/>
          <w:szCs w:val="24"/>
        </w:rPr>
        <w:t xml:space="preserve">offers 300+ years of collective knowledge; 70 skilled and experienced staff; 5 valued resource centres for Battersea; </w:t>
      </w:r>
      <w:r w:rsidR="00E724DC">
        <w:rPr>
          <w:rFonts w:cs="Calibri"/>
          <w:szCs w:val="24"/>
        </w:rPr>
        <w:t xml:space="preserve">and </w:t>
      </w:r>
      <w:r w:rsidR="00A32CFF" w:rsidRPr="00A32CFF">
        <w:rPr>
          <w:rFonts w:cs="Calibri"/>
          <w:szCs w:val="24"/>
        </w:rPr>
        <w:t>1,300 passionate and committed volunteers</w:t>
      </w:r>
      <w:r w:rsidR="00E724DC">
        <w:rPr>
          <w:rFonts w:cs="Calibri"/>
          <w:szCs w:val="24"/>
        </w:rPr>
        <w:t>.</w:t>
      </w:r>
    </w:p>
    <w:p w:rsidR="002477D1" w:rsidRDefault="008C764C" w:rsidP="0075151E">
      <w:pPr>
        <w:spacing w:before="120" w:after="120" w:line="240" w:lineRule="auto"/>
        <w:ind w:left="709" w:hanging="709"/>
        <w:rPr>
          <w:rFonts w:cs="Calibri"/>
          <w:szCs w:val="24"/>
        </w:rPr>
      </w:pPr>
      <w:r>
        <w:rPr>
          <w:rFonts w:cs="Calibri"/>
          <w:szCs w:val="24"/>
        </w:rPr>
        <w:t>1.5</w:t>
      </w:r>
      <w:r>
        <w:rPr>
          <w:rFonts w:cs="Calibri"/>
          <w:szCs w:val="24"/>
        </w:rPr>
        <w:tab/>
      </w:r>
      <w:r w:rsidR="00465B02">
        <w:rPr>
          <w:rFonts w:cs="Calibri"/>
          <w:szCs w:val="24"/>
        </w:rPr>
        <w:t xml:space="preserve">To date the </w:t>
      </w:r>
      <w:r w:rsidR="00E724DC">
        <w:rPr>
          <w:rFonts w:cs="Calibri"/>
          <w:szCs w:val="24"/>
        </w:rPr>
        <w:t xml:space="preserve">BLSW11 </w:t>
      </w:r>
      <w:r w:rsidR="00465B02">
        <w:rPr>
          <w:rFonts w:cs="Calibri"/>
          <w:szCs w:val="24"/>
        </w:rPr>
        <w:t xml:space="preserve">Alliance has had promising exploratory meetings with LB Wandsworth, Tideway, Wates </w:t>
      </w:r>
      <w:r w:rsidR="00E724DC">
        <w:rPr>
          <w:rFonts w:cs="Calibri"/>
          <w:szCs w:val="24"/>
        </w:rPr>
        <w:t>Construction</w:t>
      </w:r>
      <w:r w:rsidR="00465B02">
        <w:rPr>
          <w:rFonts w:cs="Calibri"/>
          <w:szCs w:val="24"/>
        </w:rPr>
        <w:t xml:space="preserve">, the Children’s Trust, </w:t>
      </w:r>
      <w:r w:rsidR="00E724DC">
        <w:rPr>
          <w:rFonts w:cs="Calibri"/>
          <w:szCs w:val="24"/>
        </w:rPr>
        <w:t xml:space="preserve">National </w:t>
      </w:r>
      <w:r w:rsidR="00465B02">
        <w:rPr>
          <w:rFonts w:cs="Calibri"/>
          <w:szCs w:val="24"/>
        </w:rPr>
        <w:t>Lottery Community Fund, the Greater London Authority (GLA), Sir Walter St John’s Education</w:t>
      </w:r>
      <w:r w:rsidR="00E724DC">
        <w:rPr>
          <w:rFonts w:cs="Calibri"/>
          <w:szCs w:val="24"/>
        </w:rPr>
        <w:t>al</w:t>
      </w:r>
      <w:r w:rsidR="00465B02">
        <w:rPr>
          <w:rFonts w:cs="Calibri"/>
          <w:szCs w:val="24"/>
        </w:rPr>
        <w:t xml:space="preserve"> Charity and Battersea Power Station Foundation</w:t>
      </w:r>
      <w:r w:rsidR="00E724DC">
        <w:rPr>
          <w:rFonts w:cs="Calibri"/>
          <w:szCs w:val="24"/>
        </w:rPr>
        <w:t>.</w:t>
      </w:r>
    </w:p>
    <w:p w:rsidR="009D488B" w:rsidRDefault="00465B02" w:rsidP="0075151E">
      <w:pPr>
        <w:spacing w:before="120" w:after="120" w:line="240" w:lineRule="auto"/>
        <w:ind w:left="709" w:hanging="709"/>
        <w:rPr>
          <w:rFonts w:cs="Calibri"/>
          <w:szCs w:val="24"/>
        </w:rPr>
      </w:pPr>
      <w:r>
        <w:rPr>
          <w:rFonts w:cs="Calibri"/>
          <w:szCs w:val="24"/>
        </w:rPr>
        <w:t>1.6</w:t>
      </w:r>
      <w:r>
        <w:rPr>
          <w:rFonts w:cs="Calibri"/>
          <w:szCs w:val="24"/>
        </w:rPr>
        <w:tab/>
      </w:r>
      <w:r w:rsidR="009D488B">
        <w:rPr>
          <w:rFonts w:cs="Calibri"/>
          <w:szCs w:val="24"/>
        </w:rPr>
        <w:t>Our Priorities for 2019/20 are to establish Battersea Youth Voice and a Volunteer Coordination programme that will mobilise local people, build skills and confidence and establish the</w:t>
      </w:r>
      <w:r w:rsidR="009D488B" w:rsidRPr="00256C6B">
        <w:rPr>
          <w:rFonts w:cs="Calibri"/>
          <w:b/>
          <w:szCs w:val="24"/>
        </w:rPr>
        <w:t xml:space="preserve"> </w:t>
      </w:r>
      <w:r w:rsidR="009D488B" w:rsidRPr="00256C6B">
        <w:rPr>
          <w:rFonts w:cs="Calibri"/>
          <w:b/>
          <w:color w:val="365F91" w:themeColor="accent1" w:themeShade="BF"/>
          <w:szCs w:val="24"/>
        </w:rPr>
        <w:t>infrastructure</w:t>
      </w:r>
      <w:r w:rsidR="009D488B">
        <w:rPr>
          <w:rFonts w:cs="Calibri"/>
          <w:szCs w:val="24"/>
        </w:rPr>
        <w:t xml:space="preserve"> necessary to prepare the ground for more substantial </w:t>
      </w:r>
      <w:r w:rsidR="00A84611">
        <w:rPr>
          <w:rFonts w:cs="Calibri"/>
          <w:szCs w:val="24"/>
        </w:rPr>
        <w:t xml:space="preserve">community </w:t>
      </w:r>
      <w:r w:rsidR="009D488B">
        <w:rPr>
          <w:rFonts w:cs="Calibri"/>
          <w:szCs w:val="24"/>
        </w:rPr>
        <w:t>investment over the next f</w:t>
      </w:r>
      <w:r w:rsidR="00256C6B">
        <w:rPr>
          <w:rFonts w:cs="Calibri"/>
          <w:szCs w:val="24"/>
        </w:rPr>
        <w:t>ive</w:t>
      </w:r>
      <w:r w:rsidR="009D488B">
        <w:rPr>
          <w:rFonts w:cs="Calibri"/>
          <w:szCs w:val="24"/>
        </w:rPr>
        <w:t xml:space="preserve"> years.</w:t>
      </w:r>
      <w:r w:rsidR="00D832AB">
        <w:rPr>
          <w:rFonts w:cs="Calibri"/>
          <w:szCs w:val="24"/>
        </w:rPr>
        <w:t xml:space="preserve"> </w:t>
      </w:r>
    </w:p>
    <w:p w:rsidR="009D488B" w:rsidRDefault="009D488B" w:rsidP="009D488B">
      <w:pPr>
        <w:spacing w:before="120" w:after="120" w:line="240" w:lineRule="auto"/>
        <w:ind w:left="709" w:hanging="709"/>
        <w:rPr>
          <w:rFonts w:cs="Calibri"/>
          <w:szCs w:val="24"/>
        </w:rPr>
      </w:pPr>
      <w:r>
        <w:rPr>
          <w:rFonts w:cs="Calibri"/>
          <w:szCs w:val="24"/>
        </w:rPr>
        <w:t>1.7</w:t>
      </w:r>
      <w:r>
        <w:rPr>
          <w:rFonts w:cs="Calibri"/>
          <w:szCs w:val="24"/>
        </w:rPr>
        <w:tab/>
        <w:t>In 2020/21 the BLSW</w:t>
      </w:r>
      <w:r w:rsidR="00E724DC">
        <w:rPr>
          <w:rFonts w:cs="Calibri"/>
          <w:szCs w:val="24"/>
        </w:rPr>
        <w:t>11</w:t>
      </w:r>
      <w:r>
        <w:rPr>
          <w:rFonts w:cs="Calibri"/>
          <w:szCs w:val="24"/>
        </w:rPr>
        <w:t xml:space="preserve"> Alliance will be approaching the GLA and Clinical Commissioning Group with a significant proposal for strategic investment.</w:t>
      </w:r>
    </w:p>
    <w:p w:rsidR="007C5081" w:rsidRDefault="009D488B" w:rsidP="009D488B">
      <w:pPr>
        <w:spacing w:before="120" w:after="120" w:line="240" w:lineRule="auto"/>
        <w:ind w:left="709" w:hanging="709"/>
        <w:rPr>
          <w:rFonts w:cs="Calibri"/>
          <w:szCs w:val="24"/>
        </w:rPr>
      </w:pPr>
      <w:r>
        <w:rPr>
          <w:rFonts w:cs="Calibri"/>
          <w:szCs w:val="24"/>
        </w:rPr>
        <w:t>1.8</w:t>
      </w:r>
      <w:r>
        <w:rPr>
          <w:rFonts w:cs="Calibri"/>
          <w:szCs w:val="24"/>
        </w:rPr>
        <w:tab/>
        <w:t>Taylor Wimp</w:t>
      </w:r>
      <w:r w:rsidR="004916C1">
        <w:rPr>
          <w:rFonts w:cs="Calibri"/>
          <w:szCs w:val="24"/>
        </w:rPr>
        <w:t>e</w:t>
      </w:r>
      <w:r>
        <w:rPr>
          <w:rFonts w:cs="Calibri"/>
          <w:szCs w:val="24"/>
        </w:rPr>
        <w:t>y aims to:</w:t>
      </w:r>
    </w:p>
    <w:p w:rsidR="009D488B" w:rsidRDefault="009D488B" w:rsidP="009D488B">
      <w:pPr>
        <w:spacing w:before="120" w:after="120" w:line="240" w:lineRule="auto"/>
        <w:ind w:left="1440"/>
        <w:rPr>
          <w:rFonts w:cs="Calibri"/>
          <w:szCs w:val="24"/>
        </w:rPr>
      </w:pPr>
      <w:r>
        <w:rPr>
          <w:rFonts w:cs="Calibri"/>
          <w:szCs w:val="24"/>
        </w:rPr>
        <w:t>“....make a positive contribution to the communities in which we work”</w:t>
      </w:r>
      <w:r w:rsidR="00256C6B">
        <w:rPr>
          <w:rStyle w:val="FootnoteReference"/>
          <w:rFonts w:cs="Calibri"/>
          <w:szCs w:val="24"/>
        </w:rPr>
        <w:footnoteReference w:id="1"/>
      </w:r>
    </w:p>
    <w:p w:rsidR="0007721A" w:rsidRDefault="007C5081" w:rsidP="003B6814">
      <w:pPr>
        <w:spacing w:before="120" w:after="120" w:line="240" w:lineRule="auto"/>
        <w:ind w:left="709" w:hanging="698"/>
        <w:rPr>
          <w:rFonts w:cs="Calibri"/>
          <w:szCs w:val="24"/>
        </w:rPr>
      </w:pPr>
      <w:r>
        <w:rPr>
          <w:rFonts w:cs="Calibri"/>
          <w:szCs w:val="24"/>
        </w:rPr>
        <w:t>1.9</w:t>
      </w:r>
      <w:r>
        <w:rPr>
          <w:rFonts w:cs="Calibri"/>
          <w:szCs w:val="24"/>
        </w:rPr>
        <w:tab/>
      </w:r>
      <w:r w:rsidR="00E724DC">
        <w:rPr>
          <w:rFonts w:cs="Calibri"/>
          <w:szCs w:val="24"/>
        </w:rPr>
        <w:t xml:space="preserve">Wandsworth Council </w:t>
      </w:r>
      <w:r w:rsidR="00256C6B">
        <w:rPr>
          <w:rFonts w:cs="Calibri"/>
          <w:szCs w:val="24"/>
        </w:rPr>
        <w:t>is committed to working with the community voluntary sector particularly on planning and community safety.</w:t>
      </w:r>
      <w:r w:rsidR="00256C6B">
        <w:rPr>
          <w:rStyle w:val="FootnoteReference"/>
          <w:rFonts w:cs="Calibri"/>
          <w:szCs w:val="24"/>
        </w:rPr>
        <w:footnoteReference w:id="2"/>
      </w:r>
    </w:p>
    <w:p w:rsidR="0007721A" w:rsidRDefault="00E724DC" w:rsidP="009D488B">
      <w:pPr>
        <w:spacing w:before="120" w:after="120" w:line="240" w:lineRule="auto"/>
        <w:ind w:left="709" w:hanging="709"/>
        <w:rPr>
          <w:rFonts w:cs="Calibri"/>
          <w:szCs w:val="24"/>
        </w:rPr>
      </w:pPr>
      <w:r>
        <w:rPr>
          <w:rFonts w:cs="Calibri"/>
          <w:szCs w:val="24"/>
        </w:rPr>
        <w:t xml:space="preserve"> </w:t>
      </w:r>
    </w:p>
    <w:p w:rsidR="009D488B" w:rsidRDefault="00256C6B" w:rsidP="009D488B">
      <w:pPr>
        <w:spacing w:before="120" w:after="120" w:line="240" w:lineRule="auto"/>
        <w:ind w:left="709" w:hanging="709"/>
        <w:rPr>
          <w:rFonts w:cs="Calibri"/>
          <w:szCs w:val="24"/>
        </w:rPr>
      </w:pPr>
      <w:r>
        <w:rPr>
          <w:rFonts w:cs="Calibri"/>
          <w:szCs w:val="24"/>
        </w:rPr>
        <w:t xml:space="preserve">1.10 </w:t>
      </w:r>
      <w:r w:rsidR="005E3501">
        <w:rPr>
          <w:rFonts w:cs="Calibri"/>
          <w:szCs w:val="24"/>
        </w:rPr>
        <w:tab/>
      </w:r>
      <w:r>
        <w:rPr>
          <w:rFonts w:cs="Calibri"/>
          <w:szCs w:val="24"/>
        </w:rPr>
        <w:t>Working</w:t>
      </w:r>
      <w:r w:rsidR="007C5081">
        <w:rPr>
          <w:rFonts w:cs="Calibri"/>
          <w:szCs w:val="24"/>
        </w:rPr>
        <w:t xml:space="preserve"> with the </w:t>
      </w:r>
      <w:r w:rsidR="009D488B">
        <w:rPr>
          <w:rFonts w:cs="Calibri"/>
          <w:szCs w:val="24"/>
        </w:rPr>
        <w:t>BLSW11 Alliance</w:t>
      </w:r>
      <w:r w:rsidR="007C5081">
        <w:rPr>
          <w:rFonts w:cs="Calibri"/>
          <w:szCs w:val="24"/>
        </w:rPr>
        <w:t xml:space="preserve"> will provide the JV with an unprecedented opportunity to take this commitment to a new level.</w:t>
      </w:r>
    </w:p>
    <w:p w:rsidR="009F72DD" w:rsidRPr="008F72C9" w:rsidRDefault="00B977AC" w:rsidP="008F72C9">
      <w:pPr>
        <w:pStyle w:val="Heading2"/>
        <w:rPr>
          <w:sz w:val="32"/>
          <w:szCs w:val="32"/>
        </w:rPr>
      </w:pPr>
      <w:r>
        <w:br w:type="page"/>
      </w:r>
      <w:bookmarkStart w:id="1" w:name="_Toc17971669"/>
      <w:r w:rsidR="008D69B7" w:rsidRPr="008F72C9">
        <w:rPr>
          <w:sz w:val="32"/>
          <w:szCs w:val="32"/>
        </w:rPr>
        <w:lastRenderedPageBreak/>
        <w:t xml:space="preserve">2. </w:t>
      </w:r>
      <w:r w:rsidR="008D69B7" w:rsidRPr="008F72C9">
        <w:rPr>
          <w:sz w:val="32"/>
          <w:szCs w:val="32"/>
        </w:rPr>
        <w:tab/>
      </w:r>
      <w:r w:rsidR="00D635E4" w:rsidRPr="008F72C9">
        <w:rPr>
          <w:sz w:val="32"/>
          <w:szCs w:val="32"/>
        </w:rPr>
        <w:t>Sharing Investment in the Community</w:t>
      </w:r>
      <w:bookmarkEnd w:id="1"/>
      <w:r w:rsidR="00445F82" w:rsidRPr="008F72C9">
        <w:rPr>
          <w:sz w:val="32"/>
          <w:szCs w:val="32"/>
        </w:rPr>
        <w:t xml:space="preserve"> </w:t>
      </w:r>
    </w:p>
    <w:p w:rsidR="009F72DD" w:rsidRDefault="009F72DD" w:rsidP="0075151E">
      <w:pPr>
        <w:pStyle w:val="ListParagraph"/>
        <w:spacing w:before="120" w:after="120" w:line="240" w:lineRule="auto"/>
        <w:ind w:left="360"/>
        <w:rPr>
          <w:rFonts w:cs="Calibri"/>
          <w:b/>
          <w:color w:val="365F91" w:themeColor="accent1" w:themeShade="BF"/>
          <w:szCs w:val="24"/>
        </w:rPr>
      </w:pPr>
    </w:p>
    <w:p w:rsidR="004A3490" w:rsidRDefault="00445F82" w:rsidP="008D69B7">
      <w:pPr>
        <w:pStyle w:val="ListParagraph"/>
        <w:numPr>
          <w:ilvl w:val="1"/>
          <w:numId w:val="50"/>
        </w:numPr>
        <w:spacing w:before="120" w:after="120" w:line="240" w:lineRule="auto"/>
        <w:ind w:left="709" w:hanging="709"/>
        <w:rPr>
          <w:rFonts w:cs="Calibri"/>
          <w:szCs w:val="24"/>
        </w:rPr>
      </w:pPr>
      <w:r w:rsidRPr="0097300A">
        <w:rPr>
          <w:rFonts w:cs="Calibri"/>
          <w:szCs w:val="24"/>
        </w:rPr>
        <w:t>The</w:t>
      </w:r>
      <w:r w:rsidR="0097300A">
        <w:rPr>
          <w:rFonts w:cs="Calibri"/>
          <w:szCs w:val="24"/>
        </w:rPr>
        <w:t xml:space="preserve"> Council, Taylor Wimp</w:t>
      </w:r>
      <w:r w:rsidR="008D3B51">
        <w:rPr>
          <w:rFonts w:cs="Calibri"/>
          <w:szCs w:val="24"/>
        </w:rPr>
        <w:t>e</w:t>
      </w:r>
      <w:r w:rsidR="0097300A">
        <w:rPr>
          <w:rFonts w:cs="Calibri"/>
          <w:szCs w:val="24"/>
        </w:rPr>
        <w:t>y and BLSW11 Alliance have a mutual interest in seeing the development of a strong more self-sufficient and less reliant community in SW11.</w:t>
      </w:r>
    </w:p>
    <w:p w:rsidR="004A3490" w:rsidRDefault="004A3490" w:rsidP="004A3490">
      <w:pPr>
        <w:pStyle w:val="ListParagraph"/>
        <w:spacing w:before="120" w:after="120" w:line="240" w:lineRule="auto"/>
        <w:ind w:left="709"/>
        <w:rPr>
          <w:rFonts w:cs="Calibri"/>
          <w:szCs w:val="24"/>
        </w:rPr>
      </w:pPr>
    </w:p>
    <w:p w:rsidR="00C32EE1" w:rsidRDefault="004A3490" w:rsidP="008D69B7">
      <w:pPr>
        <w:pStyle w:val="ListParagraph"/>
        <w:numPr>
          <w:ilvl w:val="1"/>
          <w:numId w:val="50"/>
        </w:numPr>
        <w:spacing w:before="120" w:after="120" w:line="240" w:lineRule="auto"/>
        <w:ind w:left="709" w:hanging="709"/>
        <w:rPr>
          <w:rFonts w:cs="Calibri"/>
          <w:szCs w:val="24"/>
        </w:rPr>
      </w:pPr>
      <w:r>
        <w:rPr>
          <w:rFonts w:cs="Calibri"/>
          <w:szCs w:val="24"/>
        </w:rPr>
        <w:t>The Winstanley and York Road estates (the Estates) are at the heart of the BLSW11 area; our</w:t>
      </w:r>
      <w:r w:rsidR="00D83CB4">
        <w:rPr>
          <w:rFonts w:cs="Calibri"/>
          <w:szCs w:val="24"/>
        </w:rPr>
        <w:t xml:space="preserve"> areas of interest and operation overlap (see Appendix 5 for </w:t>
      </w:r>
      <w:r w:rsidR="00763E68">
        <w:rPr>
          <w:rFonts w:cs="Calibri"/>
          <w:szCs w:val="24"/>
        </w:rPr>
        <w:t>Areas of Impact)</w:t>
      </w:r>
      <w:r w:rsidR="00C32EE1">
        <w:rPr>
          <w:rFonts w:cs="Calibri"/>
          <w:szCs w:val="24"/>
        </w:rPr>
        <w:t>.</w:t>
      </w:r>
    </w:p>
    <w:p w:rsidR="00C32EE1" w:rsidRPr="00C32EE1" w:rsidRDefault="00C32EE1" w:rsidP="00C32EE1">
      <w:pPr>
        <w:pStyle w:val="ListParagraph"/>
        <w:rPr>
          <w:rFonts w:cs="Calibri"/>
          <w:szCs w:val="24"/>
        </w:rPr>
      </w:pPr>
    </w:p>
    <w:p w:rsidR="00445F82" w:rsidRDefault="00C32EE1" w:rsidP="008D69B7">
      <w:pPr>
        <w:pStyle w:val="ListParagraph"/>
        <w:numPr>
          <w:ilvl w:val="1"/>
          <w:numId w:val="50"/>
        </w:numPr>
        <w:spacing w:before="120" w:after="120" w:line="240" w:lineRule="auto"/>
        <w:ind w:left="709" w:hanging="709"/>
        <w:rPr>
          <w:rFonts w:cs="Calibri"/>
          <w:szCs w:val="24"/>
        </w:rPr>
      </w:pPr>
      <w:r>
        <w:rPr>
          <w:rFonts w:cs="Calibri"/>
          <w:szCs w:val="24"/>
        </w:rPr>
        <w:t>T</w:t>
      </w:r>
      <w:r w:rsidR="004916C1">
        <w:rPr>
          <w:rFonts w:cs="Calibri"/>
          <w:szCs w:val="24"/>
        </w:rPr>
        <w:t>ogether we can avoid piecemeal, fragmented interventions to develop lon</w:t>
      </w:r>
      <w:r w:rsidR="00FC7735">
        <w:rPr>
          <w:rFonts w:cs="Calibri"/>
          <w:szCs w:val="24"/>
        </w:rPr>
        <w:t>g lasting str</w:t>
      </w:r>
      <w:r>
        <w:rPr>
          <w:rFonts w:cs="Calibri"/>
          <w:szCs w:val="24"/>
        </w:rPr>
        <w:t>ategic investments that begin to reverse the negative social and economic statistics associated with the area; particularly long term unemployment and</w:t>
      </w:r>
      <w:r w:rsidR="004A3490">
        <w:rPr>
          <w:rFonts w:cs="Calibri"/>
          <w:szCs w:val="24"/>
        </w:rPr>
        <w:t xml:space="preserve"> </w:t>
      </w:r>
      <w:r>
        <w:rPr>
          <w:rFonts w:cs="Calibri"/>
          <w:szCs w:val="24"/>
        </w:rPr>
        <w:t>the underlying barriers to employment and community participation of isolation, depression and anxiety.</w:t>
      </w:r>
    </w:p>
    <w:p w:rsidR="0097300A" w:rsidRDefault="0097300A" w:rsidP="0097300A">
      <w:pPr>
        <w:pStyle w:val="ListParagraph"/>
        <w:spacing w:before="120" w:after="120" w:line="240" w:lineRule="auto"/>
        <w:ind w:left="709"/>
        <w:rPr>
          <w:rFonts w:cs="Calibri"/>
          <w:szCs w:val="24"/>
        </w:rPr>
      </w:pPr>
    </w:p>
    <w:p w:rsidR="0097300A" w:rsidRDefault="0097300A" w:rsidP="008D69B7">
      <w:pPr>
        <w:pStyle w:val="ListParagraph"/>
        <w:numPr>
          <w:ilvl w:val="1"/>
          <w:numId w:val="50"/>
        </w:numPr>
        <w:spacing w:before="120" w:after="120" w:line="240" w:lineRule="auto"/>
        <w:ind w:left="709" w:hanging="709"/>
        <w:rPr>
          <w:rFonts w:cs="Calibri"/>
          <w:szCs w:val="24"/>
        </w:rPr>
      </w:pPr>
      <w:r>
        <w:rPr>
          <w:rFonts w:cs="Calibri"/>
          <w:szCs w:val="24"/>
        </w:rPr>
        <w:t>The attractiveness and sense of security of a community can be an important factor in relocation choices, particularly of young families.</w:t>
      </w:r>
      <w:r w:rsidR="004916C1">
        <w:rPr>
          <w:rFonts w:cs="Calibri"/>
          <w:szCs w:val="24"/>
        </w:rPr>
        <w:t xml:space="preserve"> Areas that have strong ‘social capital’ experience less crime, anti-social behaviour and show improving levels of health and well being</w:t>
      </w:r>
      <w:r w:rsidR="008D3B51">
        <w:rPr>
          <w:rFonts w:cs="Calibri"/>
          <w:szCs w:val="24"/>
        </w:rPr>
        <w:t>.</w:t>
      </w:r>
      <w:r w:rsidR="008D3B51">
        <w:rPr>
          <w:rStyle w:val="FootnoteReference"/>
          <w:rFonts w:cs="Calibri"/>
          <w:szCs w:val="24"/>
        </w:rPr>
        <w:footnoteReference w:id="3"/>
      </w:r>
    </w:p>
    <w:p w:rsidR="00D832AB" w:rsidRPr="00D832AB" w:rsidRDefault="00D832AB" w:rsidP="00D832AB">
      <w:pPr>
        <w:pStyle w:val="ListParagraph"/>
        <w:rPr>
          <w:rFonts w:cs="Calibri"/>
          <w:szCs w:val="24"/>
        </w:rPr>
      </w:pPr>
    </w:p>
    <w:p w:rsidR="00D832AB" w:rsidRDefault="00D832AB" w:rsidP="008D69B7">
      <w:pPr>
        <w:pStyle w:val="ListParagraph"/>
        <w:numPr>
          <w:ilvl w:val="1"/>
          <w:numId w:val="50"/>
        </w:numPr>
        <w:spacing w:before="120" w:after="120" w:line="240" w:lineRule="auto"/>
        <w:ind w:left="709" w:hanging="709"/>
        <w:rPr>
          <w:rFonts w:cs="Calibri"/>
          <w:szCs w:val="24"/>
        </w:rPr>
      </w:pPr>
      <w:r>
        <w:rPr>
          <w:rFonts w:cs="Calibri"/>
          <w:szCs w:val="24"/>
        </w:rPr>
        <w:t>While ad hoc ‘projects’ may go some way to support strengthening social capital what is needed, particularly in areas like BLSW11, is investment in durable community infrastructure.</w:t>
      </w:r>
    </w:p>
    <w:p w:rsidR="00D832AB" w:rsidRPr="00D832AB" w:rsidRDefault="00D832AB" w:rsidP="00D832AB">
      <w:pPr>
        <w:pStyle w:val="ListParagraph"/>
        <w:rPr>
          <w:rFonts w:cs="Calibri"/>
          <w:szCs w:val="24"/>
        </w:rPr>
      </w:pPr>
    </w:p>
    <w:p w:rsidR="00D832AB" w:rsidRDefault="00D832AB" w:rsidP="008D69B7">
      <w:pPr>
        <w:pStyle w:val="ListParagraph"/>
        <w:numPr>
          <w:ilvl w:val="1"/>
          <w:numId w:val="50"/>
        </w:numPr>
        <w:spacing w:before="120" w:after="120" w:line="240" w:lineRule="auto"/>
        <w:ind w:left="709" w:hanging="709"/>
        <w:rPr>
          <w:rFonts w:cs="Calibri"/>
          <w:szCs w:val="24"/>
        </w:rPr>
      </w:pPr>
      <w:r>
        <w:rPr>
          <w:rFonts w:cs="Calibri"/>
          <w:szCs w:val="24"/>
        </w:rPr>
        <w:t xml:space="preserve">The three strands of our </w:t>
      </w:r>
      <w:r w:rsidRPr="00D832AB">
        <w:rPr>
          <w:rFonts w:cs="Calibri"/>
          <w:color w:val="365F91" w:themeColor="accent1" w:themeShade="BF"/>
          <w:szCs w:val="24"/>
        </w:rPr>
        <w:t>community infrastructure</w:t>
      </w:r>
      <w:r w:rsidR="00730E3B">
        <w:rPr>
          <w:rStyle w:val="FootnoteReference"/>
          <w:rFonts w:cs="Calibri"/>
          <w:color w:val="365F91" w:themeColor="accent1" w:themeShade="BF"/>
          <w:szCs w:val="24"/>
        </w:rPr>
        <w:footnoteReference w:id="4"/>
      </w:r>
      <w:r w:rsidRPr="00D832AB">
        <w:rPr>
          <w:rFonts w:cs="Calibri"/>
          <w:color w:val="365F91" w:themeColor="accent1" w:themeShade="BF"/>
          <w:szCs w:val="24"/>
        </w:rPr>
        <w:t xml:space="preserve"> investment programme </w:t>
      </w:r>
      <w:r>
        <w:rPr>
          <w:rFonts w:cs="Calibri"/>
          <w:szCs w:val="24"/>
        </w:rPr>
        <w:t>focus on Youth, Volunteering and the Community Voluntary Sector.</w:t>
      </w:r>
    </w:p>
    <w:p w:rsidR="00D832AB" w:rsidRPr="00D832AB" w:rsidRDefault="00D832AB" w:rsidP="00D832AB">
      <w:pPr>
        <w:pStyle w:val="ListParagraph"/>
        <w:rPr>
          <w:rFonts w:cs="Calibri"/>
          <w:szCs w:val="24"/>
        </w:rPr>
      </w:pPr>
    </w:p>
    <w:p w:rsidR="00D832AB" w:rsidRDefault="00D832AB" w:rsidP="008D69B7">
      <w:pPr>
        <w:pStyle w:val="ListParagraph"/>
        <w:numPr>
          <w:ilvl w:val="1"/>
          <w:numId w:val="50"/>
        </w:numPr>
        <w:spacing w:before="120" w:after="120" w:line="240" w:lineRule="auto"/>
        <w:ind w:left="709" w:hanging="709"/>
        <w:rPr>
          <w:rFonts w:cs="Calibri"/>
          <w:szCs w:val="24"/>
        </w:rPr>
      </w:pPr>
      <w:r>
        <w:rPr>
          <w:rFonts w:cs="Calibri"/>
          <w:szCs w:val="24"/>
        </w:rPr>
        <w:t xml:space="preserve">Through strategic investments that </w:t>
      </w:r>
      <w:r w:rsidR="003620C2">
        <w:rPr>
          <w:rFonts w:cs="Calibri"/>
          <w:szCs w:val="24"/>
        </w:rPr>
        <w:t>attract additional financial support from the Greater London Authority, Clinical Commissioning Group and others, we aim to deliver:</w:t>
      </w:r>
    </w:p>
    <w:p w:rsidR="0097300A" w:rsidRPr="0097300A" w:rsidRDefault="0097300A" w:rsidP="0097300A">
      <w:pPr>
        <w:pStyle w:val="ListParagraph"/>
        <w:spacing w:before="120" w:after="120" w:line="240" w:lineRule="auto"/>
        <w:ind w:left="709"/>
        <w:rPr>
          <w:rFonts w:cs="Calibri"/>
          <w:szCs w:val="24"/>
        </w:rPr>
      </w:pPr>
    </w:p>
    <w:p w:rsidR="00445F82" w:rsidRDefault="003620C2" w:rsidP="003620C2">
      <w:pPr>
        <w:pStyle w:val="ListParagraph"/>
        <w:numPr>
          <w:ilvl w:val="0"/>
          <w:numId w:val="40"/>
        </w:numPr>
        <w:spacing w:before="120" w:after="120" w:line="360" w:lineRule="auto"/>
        <w:rPr>
          <w:rFonts w:cs="Calibri"/>
          <w:szCs w:val="24"/>
        </w:rPr>
      </w:pPr>
      <w:r>
        <w:rPr>
          <w:rFonts w:cs="Calibri"/>
          <w:szCs w:val="24"/>
        </w:rPr>
        <w:t xml:space="preserve">A </w:t>
      </w:r>
      <w:r w:rsidR="00445F82">
        <w:rPr>
          <w:rFonts w:cs="Calibri"/>
          <w:szCs w:val="24"/>
        </w:rPr>
        <w:t xml:space="preserve">Strong sense of community </w:t>
      </w:r>
      <w:r>
        <w:rPr>
          <w:rFonts w:cs="Calibri"/>
          <w:szCs w:val="24"/>
        </w:rPr>
        <w:t>that is attractive to</w:t>
      </w:r>
      <w:r w:rsidR="00445F82">
        <w:rPr>
          <w:rFonts w:cs="Calibri"/>
          <w:szCs w:val="24"/>
        </w:rPr>
        <w:t xml:space="preserve"> families</w:t>
      </w:r>
    </w:p>
    <w:p w:rsidR="00445F82" w:rsidRDefault="003620C2" w:rsidP="003620C2">
      <w:pPr>
        <w:pStyle w:val="ListParagraph"/>
        <w:numPr>
          <w:ilvl w:val="0"/>
          <w:numId w:val="40"/>
        </w:numPr>
        <w:spacing w:before="120" w:after="120" w:line="360" w:lineRule="auto"/>
        <w:rPr>
          <w:rFonts w:cs="Calibri"/>
          <w:szCs w:val="24"/>
        </w:rPr>
      </w:pPr>
      <w:r>
        <w:rPr>
          <w:rFonts w:cs="Calibri"/>
          <w:szCs w:val="24"/>
        </w:rPr>
        <w:t xml:space="preserve">A </w:t>
      </w:r>
      <w:r w:rsidR="00445F82">
        <w:rPr>
          <w:rFonts w:cs="Calibri"/>
          <w:szCs w:val="24"/>
        </w:rPr>
        <w:t>Safer Community</w:t>
      </w:r>
      <w:r>
        <w:rPr>
          <w:rFonts w:cs="Calibri"/>
          <w:szCs w:val="24"/>
        </w:rPr>
        <w:t xml:space="preserve"> that encourages people to stay in the area</w:t>
      </w:r>
    </w:p>
    <w:p w:rsidR="00445F82" w:rsidRDefault="003620C2" w:rsidP="003620C2">
      <w:pPr>
        <w:pStyle w:val="ListParagraph"/>
        <w:numPr>
          <w:ilvl w:val="0"/>
          <w:numId w:val="40"/>
        </w:numPr>
        <w:spacing w:before="120" w:after="120" w:line="360" w:lineRule="auto"/>
        <w:rPr>
          <w:rFonts w:cs="Calibri"/>
          <w:szCs w:val="24"/>
        </w:rPr>
      </w:pPr>
      <w:r>
        <w:rPr>
          <w:rFonts w:cs="Calibri"/>
          <w:szCs w:val="24"/>
        </w:rPr>
        <w:t xml:space="preserve">A </w:t>
      </w:r>
      <w:r w:rsidR="00445F82">
        <w:rPr>
          <w:rFonts w:cs="Calibri"/>
          <w:szCs w:val="24"/>
        </w:rPr>
        <w:t>Welcoming Community</w:t>
      </w:r>
      <w:r>
        <w:rPr>
          <w:rFonts w:cs="Calibri"/>
          <w:szCs w:val="24"/>
        </w:rPr>
        <w:t xml:space="preserve"> that supports new arrivals</w:t>
      </w:r>
    </w:p>
    <w:p w:rsidR="00445F82" w:rsidRDefault="00445F82" w:rsidP="003620C2">
      <w:pPr>
        <w:pStyle w:val="ListParagraph"/>
        <w:spacing w:before="120" w:after="120" w:line="240" w:lineRule="auto"/>
        <w:ind w:left="1080"/>
        <w:rPr>
          <w:rFonts w:cs="Calibri"/>
          <w:szCs w:val="24"/>
        </w:rPr>
      </w:pPr>
    </w:p>
    <w:p w:rsidR="00445F82" w:rsidRPr="003620C2" w:rsidRDefault="003620C2" w:rsidP="003620C2">
      <w:pPr>
        <w:pStyle w:val="ListParagraph"/>
        <w:spacing w:before="120" w:after="120" w:line="240" w:lineRule="auto"/>
        <w:ind w:left="709"/>
        <w:rPr>
          <w:rFonts w:cs="Calibri"/>
          <w:b/>
          <w:color w:val="365F91" w:themeColor="accent1" w:themeShade="BF"/>
          <w:szCs w:val="24"/>
        </w:rPr>
      </w:pPr>
      <w:r w:rsidRPr="003620C2">
        <w:rPr>
          <w:rFonts w:cs="Calibri"/>
          <w:b/>
          <w:color w:val="365F91" w:themeColor="accent1" w:themeShade="BF"/>
          <w:szCs w:val="24"/>
        </w:rPr>
        <w:t xml:space="preserve">Direct </w:t>
      </w:r>
      <w:r>
        <w:rPr>
          <w:rFonts w:cs="Calibri"/>
          <w:b/>
          <w:color w:val="365F91" w:themeColor="accent1" w:themeShade="BF"/>
          <w:szCs w:val="24"/>
        </w:rPr>
        <w:t xml:space="preserve">Partnership </w:t>
      </w:r>
      <w:r w:rsidRPr="003620C2">
        <w:rPr>
          <w:rFonts w:cs="Calibri"/>
          <w:b/>
          <w:color w:val="365F91" w:themeColor="accent1" w:themeShade="BF"/>
          <w:szCs w:val="24"/>
        </w:rPr>
        <w:t>Benefits</w:t>
      </w:r>
    </w:p>
    <w:p w:rsidR="003620C2" w:rsidRDefault="003620C2" w:rsidP="003620C2">
      <w:pPr>
        <w:pStyle w:val="ListParagraph"/>
        <w:spacing w:before="120" w:after="120" w:line="240" w:lineRule="auto"/>
        <w:ind w:left="709"/>
        <w:rPr>
          <w:rFonts w:cs="Calibri"/>
          <w:szCs w:val="24"/>
        </w:rPr>
      </w:pPr>
    </w:p>
    <w:p w:rsidR="003620C2" w:rsidRDefault="003620C2" w:rsidP="008D69B7">
      <w:pPr>
        <w:pStyle w:val="ListParagraph"/>
        <w:numPr>
          <w:ilvl w:val="1"/>
          <w:numId w:val="50"/>
        </w:numPr>
        <w:spacing w:before="120" w:after="120" w:line="240" w:lineRule="auto"/>
        <w:ind w:left="709" w:hanging="709"/>
        <w:rPr>
          <w:rFonts w:cs="Calibri"/>
          <w:szCs w:val="24"/>
        </w:rPr>
      </w:pPr>
      <w:r>
        <w:rPr>
          <w:rFonts w:cs="Calibri"/>
          <w:szCs w:val="24"/>
        </w:rPr>
        <w:t xml:space="preserve">For the LB Wandsworth we can see this ‘model’ of </w:t>
      </w:r>
      <w:r w:rsidR="002B4A06">
        <w:rPr>
          <w:rFonts w:cs="Calibri"/>
          <w:szCs w:val="24"/>
        </w:rPr>
        <w:t xml:space="preserve">community development in which residents are active in  both defining and resolving </w:t>
      </w:r>
      <w:r w:rsidR="002B4A06">
        <w:rPr>
          <w:rFonts w:cs="Calibri"/>
          <w:szCs w:val="24"/>
        </w:rPr>
        <w:lastRenderedPageBreak/>
        <w:t xml:space="preserve">some of the most challenging issues, through a strategic partnership approach, as holding important lessons for policy development. </w:t>
      </w:r>
    </w:p>
    <w:p w:rsidR="00445F82" w:rsidRPr="003620C2" w:rsidRDefault="003620C2" w:rsidP="003620C2">
      <w:pPr>
        <w:spacing w:before="120" w:after="120" w:line="240" w:lineRule="auto"/>
        <w:rPr>
          <w:rFonts w:cs="Calibri"/>
          <w:szCs w:val="24"/>
        </w:rPr>
      </w:pPr>
      <w:r w:rsidRPr="003620C2">
        <w:rPr>
          <w:rFonts w:cs="Calibri"/>
          <w:szCs w:val="24"/>
        </w:rPr>
        <w:t xml:space="preserve"> </w:t>
      </w:r>
    </w:p>
    <w:p w:rsidR="00445F82" w:rsidRDefault="003620C2" w:rsidP="008D69B7">
      <w:pPr>
        <w:pStyle w:val="ListParagraph"/>
        <w:numPr>
          <w:ilvl w:val="1"/>
          <w:numId w:val="50"/>
        </w:numPr>
        <w:spacing w:before="120" w:after="120" w:line="240" w:lineRule="auto"/>
        <w:ind w:left="709" w:hanging="709"/>
        <w:rPr>
          <w:rFonts w:cs="Calibri"/>
          <w:szCs w:val="24"/>
        </w:rPr>
      </w:pPr>
      <w:r>
        <w:rPr>
          <w:rFonts w:cs="Calibri"/>
          <w:szCs w:val="24"/>
        </w:rPr>
        <w:t>For Taylor Wimpey a significant investment beyond its Corporate Social Responsibility and Community Investment Levy ‘duties’ will:</w:t>
      </w:r>
    </w:p>
    <w:p w:rsidR="003620C2" w:rsidRPr="003620C2" w:rsidRDefault="003620C2" w:rsidP="003620C2">
      <w:pPr>
        <w:pStyle w:val="ListParagraph"/>
        <w:rPr>
          <w:rFonts w:cs="Calibri"/>
          <w:szCs w:val="24"/>
        </w:rPr>
      </w:pPr>
    </w:p>
    <w:p w:rsidR="002B4A06" w:rsidRDefault="003620C2" w:rsidP="002B4A06">
      <w:pPr>
        <w:pStyle w:val="ListParagraph"/>
        <w:numPr>
          <w:ilvl w:val="0"/>
          <w:numId w:val="44"/>
        </w:numPr>
        <w:spacing w:before="120" w:after="120" w:line="360" w:lineRule="auto"/>
        <w:rPr>
          <w:rFonts w:cs="Calibri"/>
          <w:szCs w:val="24"/>
        </w:rPr>
      </w:pPr>
      <w:r>
        <w:rPr>
          <w:rFonts w:cs="Calibri"/>
          <w:szCs w:val="24"/>
        </w:rPr>
        <w:t>Further enhance its reputation</w:t>
      </w:r>
    </w:p>
    <w:p w:rsidR="003620C2" w:rsidRDefault="002B4A06" w:rsidP="002B4A06">
      <w:pPr>
        <w:pStyle w:val="ListParagraph"/>
        <w:numPr>
          <w:ilvl w:val="0"/>
          <w:numId w:val="44"/>
        </w:numPr>
        <w:spacing w:before="120" w:after="120" w:line="360" w:lineRule="auto"/>
        <w:rPr>
          <w:rFonts w:cs="Calibri"/>
          <w:szCs w:val="24"/>
        </w:rPr>
      </w:pPr>
      <w:r>
        <w:rPr>
          <w:rFonts w:cs="Calibri"/>
          <w:szCs w:val="24"/>
        </w:rPr>
        <w:t>P</w:t>
      </w:r>
      <w:r w:rsidR="003620C2">
        <w:rPr>
          <w:rFonts w:cs="Calibri"/>
          <w:szCs w:val="24"/>
        </w:rPr>
        <w:t>ositively influence its  future investment opportunities</w:t>
      </w:r>
    </w:p>
    <w:p w:rsidR="002B4A06" w:rsidRDefault="002B4A06" w:rsidP="000D10F3">
      <w:pPr>
        <w:pStyle w:val="ListParagraph"/>
        <w:numPr>
          <w:ilvl w:val="0"/>
          <w:numId w:val="44"/>
        </w:numPr>
        <w:spacing w:before="120" w:after="120" w:line="360" w:lineRule="auto"/>
        <w:rPr>
          <w:rFonts w:cs="Calibri"/>
          <w:szCs w:val="24"/>
        </w:rPr>
      </w:pPr>
      <w:r>
        <w:rPr>
          <w:rFonts w:cs="Calibri"/>
          <w:szCs w:val="24"/>
        </w:rPr>
        <w:t>Serve as an ‘exemplar’ for other local developer</w:t>
      </w:r>
      <w:r w:rsidR="000D10F3">
        <w:rPr>
          <w:rFonts w:cs="Calibri"/>
          <w:szCs w:val="24"/>
        </w:rPr>
        <w:t>s</w:t>
      </w:r>
    </w:p>
    <w:p w:rsidR="002C24DC" w:rsidRDefault="002C24DC" w:rsidP="000D10F3">
      <w:pPr>
        <w:pStyle w:val="ListParagraph"/>
        <w:numPr>
          <w:ilvl w:val="0"/>
          <w:numId w:val="44"/>
        </w:numPr>
        <w:spacing w:before="120" w:after="120" w:line="360" w:lineRule="auto"/>
        <w:rPr>
          <w:rFonts w:cs="Calibri"/>
          <w:szCs w:val="24"/>
        </w:rPr>
      </w:pPr>
      <w:r>
        <w:rPr>
          <w:rFonts w:cs="Calibri"/>
          <w:szCs w:val="24"/>
        </w:rPr>
        <w:t>Gain access to people that might otherwise be ‘hard to reach’.</w:t>
      </w:r>
    </w:p>
    <w:p w:rsidR="002C24DC" w:rsidRDefault="002C24DC" w:rsidP="000D10F3">
      <w:pPr>
        <w:pStyle w:val="ListParagraph"/>
        <w:numPr>
          <w:ilvl w:val="0"/>
          <w:numId w:val="44"/>
        </w:numPr>
        <w:spacing w:before="120" w:after="120" w:line="360" w:lineRule="auto"/>
        <w:rPr>
          <w:rFonts w:cs="Calibri"/>
          <w:szCs w:val="24"/>
        </w:rPr>
      </w:pPr>
      <w:r>
        <w:rPr>
          <w:rFonts w:cs="Calibri"/>
          <w:szCs w:val="24"/>
        </w:rPr>
        <w:t>Develop ‘good news’ stories</w:t>
      </w:r>
    </w:p>
    <w:p w:rsidR="002C24DC" w:rsidRDefault="002C24DC" w:rsidP="000D10F3">
      <w:pPr>
        <w:pStyle w:val="ListParagraph"/>
        <w:numPr>
          <w:ilvl w:val="0"/>
          <w:numId w:val="44"/>
        </w:numPr>
        <w:spacing w:before="120" w:after="120" w:line="360" w:lineRule="auto"/>
        <w:rPr>
          <w:rFonts w:cs="Calibri"/>
          <w:szCs w:val="24"/>
        </w:rPr>
      </w:pPr>
      <w:r>
        <w:rPr>
          <w:rFonts w:cs="Calibri"/>
          <w:szCs w:val="24"/>
        </w:rPr>
        <w:t>Leave a positive legacy</w:t>
      </w:r>
    </w:p>
    <w:p w:rsidR="00445F82" w:rsidRPr="004916C1" w:rsidRDefault="00445F82" w:rsidP="00DA136E">
      <w:pPr>
        <w:ind w:firstLine="709"/>
        <w:rPr>
          <w:b/>
          <w:color w:val="365F91" w:themeColor="accent1" w:themeShade="BF"/>
        </w:rPr>
      </w:pPr>
      <w:r w:rsidRPr="004916C1">
        <w:rPr>
          <w:rFonts w:cs="Calibri"/>
          <w:b/>
          <w:color w:val="365F91" w:themeColor="accent1" w:themeShade="BF"/>
          <w:szCs w:val="24"/>
        </w:rPr>
        <w:t xml:space="preserve">The </w:t>
      </w:r>
      <w:r w:rsidRPr="004916C1">
        <w:rPr>
          <w:b/>
          <w:color w:val="365F91" w:themeColor="accent1" w:themeShade="BF"/>
        </w:rPr>
        <w:t xml:space="preserve">Big Local SW11 </w:t>
      </w:r>
      <w:r w:rsidR="008D1FF9" w:rsidRPr="004916C1">
        <w:rPr>
          <w:b/>
          <w:color w:val="365F91" w:themeColor="accent1" w:themeShade="BF"/>
        </w:rPr>
        <w:t>Commitment</w:t>
      </w:r>
    </w:p>
    <w:p w:rsidR="005C4FD7" w:rsidRDefault="008D1FF9" w:rsidP="008D69B7">
      <w:pPr>
        <w:pStyle w:val="ListParagraph"/>
        <w:numPr>
          <w:ilvl w:val="1"/>
          <w:numId w:val="50"/>
        </w:numPr>
        <w:spacing w:before="120" w:after="120" w:line="240" w:lineRule="auto"/>
        <w:ind w:left="709" w:hanging="709"/>
        <w:rPr>
          <w:rFonts w:cs="Calibri"/>
          <w:szCs w:val="24"/>
        </w:rPr>
      </w:pPr>
      <w:r>
        <w:rPr>
          <w:rFonts w:cs="Calibri"/>
          <w:szCs w:val="24"/>
        </w:rPr>
        <w:t>The</w:t>
      </w:r>
      <w:r w:rsidR="008C764C" w:rsidRPr="008D1FF9">
        <w:rPr>
          <w:rFonts w:cs="Calibri"/>
          <w:szCs w:val="24"/>
        </w:rPr>
        <w:t xml:space="preserve"> approved BLSW11 three year budget includes a commitment to support measures that will, over</w:t>
      </w:r>
      <w:r w:rsidR="00730E3B">
        <w:rPr>
          <w:rFonts w:cs="Calibri"/>
          <w:szCs w:val="24"/>
        </w:rPr>
        <w:t>time, strengthen social capital, and by this means address some of the most challenging issues for our communities, including isolation, loneliness, depression and anxiety.</w:t>
      </w:r>
    </w:p>
    <w:p w:rsidR="00730E3B" w:rsidRPr="008D1FF9" w:rsidRDefault="00730E3B" w:rsidP="00730E3B">
      <w:pPr>
        <w:pStyle w:val="ListParagraph"/>
        <w:spacing w:before="120" w:after="120" w:line="240" w:lineRule="auto"/>
        <w:ind w:left="709"/>
        <w:rPr>
          <w:rFonts w:cs="Calibri"/>
          <w:szCs w:val="24"/>
        </w:rPr>
      </w:pPr>
    </w:p>
    <w:tbl>
      <w:tblPr>
        <w:tblStyle w:val="TableGrid"/>
        <w:tblW w:w="6771" w:type="dxa"/>
        <w:tblInd w:w="1138" w:type="dxa"/>
        <w:tblLook w:val="04A0"/>
      </w:tblPr>
      <w:tblGrid>
        <w:gridCol w:w="2943"/>
        <w:gridCol w:w="1307"/>
        <w:gridCol w:w="1307"/>
        <w:gridCol w:w="1307"/>
      </w:tblGrid>
      <w:tr w:rsidR="00B23EA7" w:rsidRPr="009F72DD" w:rsidTr="002477D1">
        <w:trPr>
          <w:trHeight w:val="300"/>
        </w:trPr>
        <w:tc>
          <w:tcPr>
            <w:tcW w:w="2943" w:type="dxa"/>
            <w:noWrap/>
            <w:hideMark/>
          </w:tcPr>
          <w:p w:rsidR="00B23EA7" w:rsidRPr="009F72DD" w:rsidRDefault="00B23EA7" w:rsidP="0075151E">
            <w:pPr>
              <w:spacing w:before="120" w:after="120"/>
              <w:jc w:val="center"/>
              <w:rPr>
                <w:rFonts w:cs="Calibri"/>
                <w:b/>
                <w:bCs/>
                <w:color w:val="000000"/>
                <w:szCs w:val="24"/>
              </w:rPr>
            </w:pPr>
            <w:r w:rsidRPr="008D1FF9">
              <w:rPr>
                <w:rFonts w:cs="Calibri"/>
                <w:b/>
                <w:bCs/>
                <w:color w:val="000000"/>
                <w:szCs w:val="24"/>
              </w:rPr>
              <w:t>Man</w:t>
            </w:r>
            <w:r w:rsidRPr="009F72DD">
              <w:rPr>
                <w:rFonts w:cs="Calibri"/>
                <w:b/>
                <w:bCs/>
                <w:color w:val="000000"/>
                <w:szCs w:val="24"/>
              </w:rPr>
              <w:t>agement</w:t>
            </w:r>
          </w:p>
        </w:tc>
        <w:tc>
          <w:tcPr>
            <w:tcW w:w="1276" w:type="dxa"/>
            <w:noWrap/>
            <w:hideMark/>
          </w:tcPr>
          <w:p w:rsidR="00B23EA7" w:rsidRDefault="00B23EA7" w:rsidP="0075151E">
            <w:pPr>
              <w:spacing w:before="120" w:after="120"/>
              <w:jc w:val="center"/>
              <w:rPr>
                <w:rFonts w:cs="Calibri"/>
                <w:b/>
                <w:bCs/>
                <w:color w:val="000000"/>
                <w:szCs w:val="24"/>
              </w:rPr>
            </w:pPr>
            <w:r w:rsidRPr="009F72DD">
              <w:rPr>
                <w:rFonts w:cs="Calibri"/>
                <w:b/>
                <w:bCs/>
                <w:color w:val="000000"/>
                <w:szCs w:val="24"/>
              </w:rPr>
              <w:t>201</w:t>
            </w:r>
            <w:r w:rsidR="00DA583C">
              <w:rPr>
                <w:rFonts w:cs="Calibri"/>
                <w:b/>
                <w:bCs/>
                <w:color w:val="000000"/>
                <w:szCs w:val="24"/>
              </w:rPr>
              <w:t>9</w:t>
            </w:r>
            <w:r w:rsidR="00B977AC">
              <w:rPr>
                <w:rFonts w:cs="Calibri"/>
                <w:b/>
                <w:bCs/>
                <w:color w:val="000000"/>
                <w:szCs w:val="24"/>
              </w:rPr>
              <w:t>/20</w:t>
            </w:r>
          </w:p>
          <w:p w:rsidR="00DA583C" w:rsidRPr="009F72DD" w:rsidRDefault="00DA583C" w:rsidP="0075151E">
            <w:pPr>
              <w:spacing w:before="120" w:after="120"/>
              <w:jc w:val="center"/>
              <w:rPr>
                <w:rFonts w:cs="Calibri"/>
                <w:b/>
                <w:bCs/>
                <w:color w:val="000000"/>
                <w:szCs w:val="24"/>
              </w:rPr>
            </w:pPr>
            <w:r>
              <w:rPr>
                <w:rFonts w:cs="Calibri"/>
                <w:b/>
                <w:bCs/>
                <w:color w:val="000000"/>
                <w:szCs w:val="24"/>
              </w:rPr>
              <w:t>£k</w:t>
            </w:r>
          </w:p>
        </w:tc>
        <w:tc>
          <w:tcPr>
            <w:tcW w:w="1276" w:type="dxa"/>
          </w:tcPr>
          <w:p w:rsidR="00B23EA7" w:rsidRDefault="00B23EA7" w:rsidP="0075151E">
            <w:pPr>
              <w:spacing w:before="120" w:after="120"/>
              <w:jc w:val="center"/>
              <w:rPr>
                <w:rFonts w:cs="Calibri"/>
                <w:b/>
                <w:bCs/>
                <w:color w:val="000000"/>
                <w:szCs w:val="24"/>
              </w:rPr>
            </w:pPr>
            <w:r w:rsidRPr="009F72DD">
              <w:rPr>
                <w:rFonts w:cs="Calibri"/>
                <w:b/>
                <w:bCs/>
                <w:color w:val="000000"/>
                <w:szCs w:val="24"/>
              </w:rPr>
              <w:t>2020</w:t>
            </w:r>
            <w:r w:rsidR="00B977AC">
              <w:rPr>
                <w:rFonts w:cs="Calibri"/>
                <w:b/>
                <w:bCs/>
                <w:color w:val="000000"/>
                <w:szCs w:val="24"/>
              </w:rPr>
              <w:t>/21</w:t>
            </w:r>
          </w:p>
          <w:p w:rsidR="00DA583C" w:rsidRPr="009F72DD" w:rsidRDefault="00DA583C" w:rsidP="0075151E">
            <w:pPr>
              <w:spacing w:before="120" w:after="120"/>
              <w:jc w:val="center"/>
              <w:rPr>
                <w:rFonts w:cs="Calibri"/>
                <w:b/>
                <w:bCs/>
                <w:color w:val="000000"/>
                <w:szCs w:val="24"/>
              </w:rPr>
            </w:pPr>
            <w:r>
              <w:rPr>
                <w:rFonts w:cs="Calibri"/>
                <w:b/>
                <w:bCs/>
                <w:color w:val="000000"/>
                <w:szCs w:val="24"/>
              </w:rPr>
              <w:t>£k</w:t>
            </w:r>
          </w:p>
        </w:tc>
        <w:tc>
          <w:tcPr>
            <w:tcW w:w="1276" w:type="dxa"/>
          </w:tcPr>
          <w:p w:rsidR="00B23EA7" w:rsidRDefault="00B23EA7" w:rsidP="0075151E">
            <w:pPr>
              <w:spacing w:before="120" w:after="120"/>
              <w:jc w:val="center"/>
              <w:rPr>
                <w:rFonts w:cs="Calibri"/>
                <w:b/>
                <w:bCs/>
                <w:color w:val="000000"/>
                <w:szCs w:val="24"/>
              </w:rPr>
            </w:pPr>
            <w:r w:rsidRPr="009F72DD">
              <w:rPr>
                <w:rFonts w:cs="Calibri"/>
                <w:b/>
                <w:bCs/>
                <w:color w:val="000000"/>
                <w:szCs w:val="24"/>
              </w:rPr>
              <w:t>2021</w:t>
            </w:r>
            <w:r w:rsidR="00B977AC">
              <w:rPr>
                <w:rFonts w:cs="Calibri"/>
                <w:b/>
                <w:bCs/>
                <w:color w:val="000000"/>
                <w:szCs w:val="24"/>
              </w:rPr>
              <w:t>/22</w:t>
            </w:r>
          </w:p>
          <w:p w:rsidR="00DA583C" w:rsidRPr="009F72DD" w:rsidRDefault="00DA583C" w:rsidP="0075151E">
            <w:pPr>
              <w:spacing w:before="120" w:after="120"/>
              <w:jc w:val="center"/>
              <w:rPr>
                <w:rFonts w:cs="Calibri"/>
                <w:b/>
                <w:bCs/>
                <w:color w:val="000000"/>
                <w:szCs w:val="24"/>
              </w:rPr>
            </w:pPr>
            <w:r>
              <w:rPr>
                <w:rFonts w:cs="Calibri"/>
                <w:b/>
                <w:bCs/>
                <w:color w:val="000000"/>
                <w:szCs w:val="24"/>
              </w:rPr>
              <w:t>£k</w:t>
            </w:r>
          </w:p>
        </w:tc>
      </w:tr>
      <w:tr w:rsidR="00B23EA7" w:rsidRPr="009F72DD" w:rsidTr="002477D1">
        <w:trPr>
          <w:trHeight w:val="300"/>
        </w:trPr>
        <w:tc>
          <w:tcPr>
            <w:tcW w:w="2943"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Sub Total</w:t>
            </w:r>
          </w:p>
        </w:tc>
        <w:tc>
          <w:tcPr>
            <w:tcW w:w="1276" w:type="dxa"/>
            <w:noWrap/>
            <w:hideMark/>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46800</w:t>
            </w:r>
            <w:r w:rsidRPr="009F72DD">
              <w:rPr>
                <w:rFonts w:cs="Calibri"/>
                <w:bCs/>
                <w:color w:val="000000"/>
                <w:szCs w:val="24"/>
              </w:rPr>
              <w:fldChar w:fldCharType="end"/>
            </w:r>
          </w:p>
        </w:tc>
        <w:tc>
          <w:tcPr>
            <w:tcW w:w="1276" w:type="dxa"/>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50600</w:t>
            </w:r>
            <w:r w:rsidRPr="009F72DD">
              <w:rPr>
                <w:rFonts w:cs="Calibri"/>
                <w:bCs/>
                <w:color w:val="000000"/>
                <w:szCs w:val="24"/>
              </w:rPr>
              <w:fldChar w:fldCharType="end"/>
            </w:r>
          </w:p>
        </w:tc>
        <w:tc>
          <w:tcPr>
            <w:tcW w:w="1276" w:type="dxa"/>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53300</w:t>
            </w:r>
            <w:r w:rsidRPr="009F72DD">
              <w:rPr>
                <w:rFonts w:cs="Calibri"/>
                <w:bCs/>
                <w:color w:val="000000"/>
                <w:szCs w:val="24"/>
              </w:rPr>
              <w:fldChar w:fldCharType="end"/>
            </w:r>
          </w:p>
        </w:tc>
      </w:tr>
      <w:tr w:rsidR="00B23EA7" w:rsidRPr="009F72DD" w:rsidTr="002477D1">
        <w:trPr>
          <w:trHeight w:val="300"/>
        </w:trPr>
        <w:tc>
          <w:tcPr>
            <w:tcW w:w="2943" w:type="dxa"/>
            <w:noWrap/>
            <w:hideMark/>
          </w:tcPr>
          <w:p w:rsidR="00B23EA7" w:rsidRPr="009F72DD" w:rsidRDefault="00B23EA7" w:rsidP="0075151E">
            <w:pPr>
              <w:spacing w:before="120" w:after="120"/>
              <w:jc w:val="center"/>
              <w:rPr>
                <w:rFonts w:cs="Calibri"/>
                <w:b/>
                <w:bCs/>
                <w:color w:val="000000"/>
                <w:szCs w:val="24"/>
              </w:rPr>
            </w:pPr>
            <w:r w:rsidRPr="009F72DD">
              <w:rPr>
                <w:rFonts w:cs="Calibri"/>
                <w:b/>
                <w:bCs/>
                <w:color w:val="000000"/>
                <w:szCs w:val="24"/>
              </w:rPr>
              <w:t>Projects</w:t>
            </w:r>
          </w:p>
        </w:tc>
        <w:tc>
          <w:tcPr>
            <w:tcW w:w="1276" w:type="dxa"/>
            <w:noWrap/>
            <w:hideMark/>
          </w:tcPr>
          <w:p w:rsidR="00B23EA7" w:rsidRPr="009F72DD" w:rsidRDefault="00B23EA7" w:rsidP="0075151E">
            <w:pPr>
              <w:spacing w:before="120" w:after="120"/>
              <w:jc w:val="center"/>
              <w:rPr>
                <w:rFonts w:cs="Calibri"/>
                <w:b/>
                <w:bCs/>
                <w:color w:val="000000"/>
                <w:szCs w:val="24"/>
              </w:rPr>
            </w:pPr>
          </w:p>
        </w:tc>
        <w:tc>
          <w:tcPr>
            <w:tcW w:w="1276" w:type="dxa"/>
          </w:tcPr>
          <w:p w:rsidR="00B23EA7" w:rsidRPr="009F72DD" w:rsidRDefault="00B23EA7" w:rsidP="0075151E">
            <w:pPr>
              <w:spacing w:before="120" w:after="120"/>
              <w:jc w:val="center"/>
              <w:rPr>
                <w:rFonts w:cs="Calibri"/>
                <w:b/>
                <w:bCs/>
                <w:color w:val="000000"/>
                <w:szCs w:val="24"/>
              </w:rPr>
            </w:pPr>
          </w:p>
        </w:tc>
        <w:tc>
          <w:tcPr>
            <w:tcW w:w="1276" w:type="dxa"/>
          </w:tcPr>
          <w:p w:rsidR="00B23EA7" w:rsidRPr="009F72DD" w:rsidRDefault="00B23EA7" w:rsidP="0075151E">
            <w:pPr>
              <w:spacing w:before="120" w:after="120"/>
              <w:jc w:val="center"/>
              <w:rPr>
                <w:rFonts w:cs="Calibri"/>
                <w:b/>
                <w:bCs/>
                <w:color w:val="000000"/>
                <w:szCs w:val="24"/>
              </w:rPr>
            </w:pP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Cs/>
                <w:color w:val="000000"/>
                <w:szCs w:val="24"/>
              </w:rPr>
            </w:pPr>
            <w:r w:rsidRPr="009F72DD">
              <w:rPr>
                <w:rFonts w:cs="Calibri"/>
                <w:bCs/>
                <w:color w:val="000000"/>
                <w:szCs w:val="24"/>
              </w:rPr>
              <w:t>Big Local Alliance</w:t>
            </w:r>
          </w:p>
        </w:tc>
        <w:tc>
          <w:tcPr>
            <w:tcW w:w="1276"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25000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25000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25000</w:t>
            </w: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Cs/>
                <w:color w:val="000000"/>
                <w:szCs w:val="24"/>
              </w:rPr>
            </w:pPr>
            <w:r w:rsidRPr="009F72DD">
              <w:rPr>
                <w:rFonts w:cs="Calibri"/>
                <w:bCs/>
                <w:color w:val="000000"/>
                <w:szCs w:val="24"/>
              </w:rPr>
              <w:t>Festival</w:t>
            </w:r>
          </w:p>
        </w:tc>
        <w:tc>
          <w:tcPr>
            <w:tcW w:w="1276"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15000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15000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15000</w:t>
            </w: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Cs/>
                <w:color w:val="000000"/>
                <w:szCs w:val="24"/>
              </w:rPr>
            </w:pPr>
            <w:r w:rsidRPr="009F72DD">
              <w:rPr>
                <w:rFonts w:cs="Calibri"/>
                <w:bCs/>
                <w:color w:val="000000"/>
                <w:szCs w:val="24"/>
              </w:rPr>
              <w:t>Grants</w:t>
            </w:r>
          </w:p>
        </w:tc>
        <w:tc>
          <w:tcPr>
            <w:tcW w:w="1276"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20000</w:t>
            </w: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Cs/>
                <w:color w:val="000000"/>
                <w:szCs w:val="24"/>
              </w:rPr>
            </w:pPr>
            <w:r w:rsidRPr="009F72DD">
              <w:rPr>
                <w:rFonts w:cs="Calibri"/>
                <w:bCs/>
                <w:color w:val="000000"/>
                <w:szCs w:val="24"/>
              </w:rPr>
              <w:t>Intergenerational</w:t>
            </w:r>
          </w:p>
        </w:tc>
        <w:tc>
          <w:tcPr>
            <w:tcW w:w="1276"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10000</w:t>
            </w: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Cs/>
                <w:color w:val="000000"/>
                <w:szCs w:val="24"/>
              </w:rPr>
            </w:pPr>
            <w:r w:rsidRPr="009F72DD">
              <w:rPr>
                <w:rFonts w:cs="Calibri"/>
                <w:bCs/>
                <w:color w:val="000000"/>
                <w:szCs w:val="24"/>
              </w:rPr>
              <w:t>Local Investment Fund</w:t>
            </w:r>
          </w:p>
        </w:tc>
        <w:tc>
          <w:tcPr>
            <w:tcW w:w="1276"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50000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50000</w:t>
            </w:r>
          </w:p>
        </w:tc>
        <w:tc>
          <w:tcPr>
            <w:tcW w:w="1276" w:type="dxa"/>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50000</w:t>
            </w:r>
          </w:p>
        </w:tc>
      </w:tr>
      <w:tr w:rsidR="00B23EA7" w:rsidRPr="009F72DD" w:rsidTr="002477D1">
        <w:trPr>
          <w:trHeight w:val="300"/>
        </w:trPr>
        <w:tc>
          <w:tcPr>
            <w:tcW w:w="2943" w:type="dxa"/>
            <w:noWrap/>
            <w:hideMark/>
          </w:tcPr>
          <w:p w:rsidR="00B23EA7" w:rsidRPr="009F72DD" w:rsidRDefault="00B23EA7" w:rsidP="0075151E">
            <w:pPr>
              <w:spacing w:before="120" w:after="120"/>
              <w:jc w:val="right"/>
              <w:rPr>
                <w:rFonts w:cs="Calibri"/>
                <w:bCs/>
                <w:color w:val="000000"/>
                <w:szCs w:val="24"/>
              </w:rPr>
            </w:pPr>
            <w:r w:rsidRPr="009F72DD">
              <w:rPr>
                <w:rFonts w:cs="Calibri"/>
                <w:bCs/>
                <w:color w:val="000000"/>
                <w:szCs w:val="24"/>
              </w:rPr>
              <w:t>Sub Total</w:t>
            </w:r>
          </w:p>
        </w:tc>
        <w:tc>
          <w:tcPr>
            <w:tcW w:w="1276" w:type="dxa"/>
            <w:noWrap/>
            <w:hideMark/>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120000</w:t>
            </w:r>
            <w:r w:rsidRPr="009F72DD">
              <w:rPr>
                <w:rFonts w:cs="Calibri"/>
                <w:bCs/>
                <w:color w:val="000000"/>
                <w:szCs w:val="24"/>
              </w:rPr>
              <w:fldChar w:fldCharType="end"/>
            </w:r>
          </w:p>
        </w:tc>
        <w:tc>
          <w:tcPr>
            <w:tcW w:w="1276" w:type="dxa"/>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120000</w:t>
            </w:r>
            <w:r w:rsidRPr="009F72DD">
              <w:rPr>
                <w:rFonts w:cs="Calibri"/>
                <w:bCs/>
                <w:color w:val="000000"/>
                <w:szCs w:val="24"/>
              </w:rPr>
              <w:fldChar w:fldCharType="end"/>
            </w:r>
          </w:p>
        </w:tc>
        <w:tc>
          <w:tcPr>
            <w:tcW w:w="1276" w:type="dxa"/>
          </w:tcPr>
          <w:p w:rsidR="00B23EA7" w:rsidRPr="009F72DD" w:rsidRDefault="00062886" w:rsidP="0075151E">
            <w:pPr>
              <w:spacing w:before="120" w:after="120"/>
              <w:jc w:val="right"/>
              <w:rPr>
                <w:rFonts w:cs="Calibri"/>
                <w:bCs/>
                <w:color w:val="000000"/>
                <w:szCs w:val="24"/>
              </w:rPr>
            </w:pPr>
            <w:r w:rsidRPr="009F72DD">
              <w:rPr>
                <w:rFonts w:cs="Calibri"/>
                <w:bCs/>
                <w:color w:val="000000"/>
                <w:szCs w:val="24"/>
              </w:rPr>
              <w:fldChar w:fldCharType="begin"/>
            </w:r>
            <w:r w:rsidR="00B23EA7" w:rsidRPr="009F72DD">
              <w:rPr>
                <w:rFonts w:cs="Calibri"/>
                <w:bCs/>
                <w:color w:val="000000"/>
                <w:szCs w:val="24"/>
              </w:rPr>
              <w:instrText xml:space="preserve"> =SUM(ABOVE) </w:instrText>
            </w:r>
            <w:r w:rsidRPr="009F72DD">
              <w:rPr>
                <w:rFonts w:cs="Calibri"/>
                <w:bCs/>
                <w:color w:val="000000"/>
                <w:szCs w:val="24"/>
              </w:rPr>
              <w:fldChar w:fldCharType="separate"/>
            </w:r>
            <w:r w:rsidR="00B23EA7" w:rsidRPr="009F72DD">
              <w:rPr>
                <w:rFonts w:cs="Calibri"/>
                <w:bCs/>
                <w:noProof/>
                <w:color w:val="000000"/>
                <w:szCs w:val="24"/>
              </w:rPr>
              <w:t>120000</w:t>
            </w:r>
            <w:r w:rsidRPr="009F72DD">
              <w:rPr>
                <w:rFonts w:cs="Calibri"/>
                <w:bCs/>
                <w:color w:val="000000"/>
                <w:szCs w:val="24"/>
              </w:rPr>
              <w:fldChar w:fldCharType="end"/>
            </w:r>
          </w:p>
        </w:tc>
      </w:tr>
      <w:tr w:rsidR="00B23EA7" w:rsidRPr="009F72DD" w:rsidTr="002477D1">
        <w:trPr>
          <w:trHeight w:val="300"/>
        </w:trPr>
        <w:tc>
          <w:tcPr>
            <w:tcW w:w="2943" w:type="dxa"/>
            <w:noWrap/>
            <w:hideMark/>
          </w:tcPr>
          <w:p w:rsidR="00B23EA7" w:rsidRPr="009F72DD" w:rsidRDefault="00B23EA7" w:rsidP="0075151E">
            <w:pPr>
              <w:spacing w:before="120" w:after="120"/>
              <w:rPr>
                <w:rFonts w:cs="Calibri"/>
                <w:b/>
                <w:bCs/>
                <w:color w:val="000000"/>
                <w:szCs w:val="24"/>
              </w:rPr>
            </w:pPr>
            <w:r w:rsidRPr="009F72DD">
              <w:rPr>
                <w:rFonts w:cs="Calibri"/>
                <w:b/>
                <w:bCs/>
                <w:color w:val="000000"/>
                <w:szCs w:val="24"/>
              </w:rPr>
              <w:t>Total</w:t>
            </w:r>
          </w:p>
        </w:tc>
        <w:tc>
          <w:tcPr>
            <w:tcW w:w="1276" w:type="dxa"/>
            <w:noWrap/>
            <w:hideMark/>
          </w:tcPr>
          <w:p w:rsidR="00B23EA7" w:rsidRPr="009F72DD" w:rsidRDefault="00B23EA7" w:rsidP="0075151E">
            <w:pPr>
              <w:spacing w:before="120" w:after="120"/>
              <w:jc w:val="right"/>
              <w:rPr>
                <w:rFonts w:cs="Calibri"/>
                <w:b/>
                <w:bCs/>
                <w:color w:val="000000"/>
                <w:szCs w:val="24"/>
              </w:rPr>
            </w:pPr>
            <w:r w:rsidRPr="009F72DD">
              <w:rPr>
                <w:rFonts w:cs="Calibri"/>
                <w:b/>
                <w:bCs/>
                <w:color w:val="000000"/>
                <w:szCs w:val="24"/>
              </w:rPr>
              <w:t>166,800</w:t>
            </w:r>
          </w:p>
        </w:tc>
        <w:tc>
          <w:tcPr>
            <w:tcW w:w="1276" w:type="dxa"/>
          </w:tcPr>
          <w:p w:rsidR="00B23EA7" w:rsidRPr="009F72DD" w:rsidRDefault="00B23EA7" w:rsidP="0075151E">
            <w:pPr>
              <w:spacing w:before="120" w:after="120"/>
              <w:jc w:val="right"/>
              <w:rPr>
                <w:rFonts w:cs="Calibri"/>
                <w:b/>
                <w:bCs/>
                <w:color w:val="000000"/>
                <w:szCs w:val="24"/>
              </w:rPr>
            </w:pPr>
            <w:r w:rsidRPr="009F72DD">
              <w:rPr>
                <w:rFonts w:cs="Calibri"/>
                <w:b/>
                <w:bCs/>
                <w:color w:val="000000"/>
                <w:szCs w:val="24"/>
              </w:rPr>
              <w:t>170,600</w:t>
            </w:r>
          </w:p>
        </w:tc>
        <w:tc>
          <w:tcPr>
            <w:tcW w:w="1276" w:type="dxa"/>
          </w:tcPr>
          <w:p w:rsidR="00B23EA7" w:rsidRPr="009F72DD" w:rsidRDefault="00B23EA7" w:rsidP="0075151E">
            <w:pPr>
              <w:spacing w:before="120" w:after="120"/>
              <w:jc w:val="right"/>
              <w:rPr>
                <w:rFonts w:cs="Calibri"/>
                <w:b/>
                <w:bCs/>
                <w:color w:val="000000"/>
                <w:szCs w:val="24"/>
              </w:rPr>
            </w:pPr>
            <w:r w:rsidRPr="009F72DD">
              <w:rPr>
                <w:rFonts w:cs="Calibri"/>
                <w:b/>
                <w:bCs/>
                <w:color w:val="000000"/>
                <w:szCs w:val="24"/>
              </w:rPr>
              <w:t>173,333</w:t>
            </w:r>
          </w:p>
        </w:tc>
      </w:tr>
    </w:tbl>
    <w:p w:rsidR="00B23EA7" w:rsidRPr="009F72DD" w:rsidRDefault="00B23EA7" w:rsidP="0075151E">
      <w:pPr>
        <w:pStyle w:val="ListParagraph"/>
        <w:spacing w:before="120" w:after="120" w:line="240" w:lineRule="auto"/>
        <w:ind w:left="644"/>
        <w:rPr>
          <w:rFonts w:cs="Calibri"/>
          <w:szCs w:val="24"/>
        </w:rPr>
      </w:pPr>
    </w:p>
    <w:p w:rsidR="00141096" w:rsidRDefault="008C764C" w:rsidP="008D69B7">
      <w:pPr>
        <w:pStyle w:val="ListParagraph"/>
        <w:numPr>
          <w:ilvl w:val="1"/>
          <w:numId w:val="50"/>
        </w:numPr>
        <w:spacing w:before="120" w:after="120" w:line="240" w:lineRule="auto"/>
        <w:ind w:left="709" w:hanging="709"/>
        <w:rPr>
          <w:rFonts w:cs="Calibri"/>
          <w:szCs w:val="24"/>
        </w:rPr>
      </w:pPr>
      <w:r>
        <w:rPr>
          <w:rFonts w:cs="Calibri"/>
          <w:szCs w:val="24"/>
        </w:rPr>
        <w:t>BLSW11’s aim is to demonstrate the ‘value’ of these investments and lay the foundations for better funded and more sustainable developments.</w:t>
      </w:r>
      <w:r w:rsidR="00730E3B">
        <w:rPr>
          <w:rFonts w:cs="Calibri"/>
          <w:szCs w:val="24"/>
        </w:rPr>
        <w:t xml:space="preserve"> The key message here is the development of joint ‘investments. That will deliver lasting change. </w:t>
      </w:r>
    </w:p>
    <w:p w:rsidR="008C764C" w:rsidRDefault="008C764C" w:rsidP="008C764C">
      <w:pPr>
        <w:pStyle w:val="ListParagraph"/>
        <w:spacing w:before="120" w:after="120" w:line="240" w:lineRule="auto"/>
        <w:ind w:left="928"/>
        <w:rPr>
          <w:rFonts w:cs="Calibri"/>
          <w:szCs w:val="24"/>
        </w:rPr>
      </w:pPr>
    </w:p>
    <w:p w:rsidR="008C764C" w:rsidRDefault="008C764C" w:rsidP="008D69B7">
      <w:pPr>
        <w:pStyle w:val="ListParagraph"/>
        <w:numPr>
          <w:ilvl w:val="1"/>
          <w:numId w:val="50"/>
        </w:numPr>
        <w:spacing w:before="120" w:after="120" w:line="240" w:lineRule="auto"/>
        <w:ind w:left="709" w:hanging="709"/>
        <w:rPr>
          <w:rFonts w:cs="Calibri"/>
          <w:szCs w:val="24"/>
        </w:rPr>
      </w:pPr>
      <w:r>
        <w:rPr>
          <w:rFonts w:cs="Calibri"/>
          <w:szCs w:val="24"/>
        </w:rPr>
        <w:lastRenderedPageBreak/>
        <w:t>The</w:t>
      </w:r>
      <w:r w:rsidR="000412AC">
        <w:rPr>
          <w:rFonts w:cs="Calibri"/>
          <w:szCs w:val="24"/>
        </w:rPr>
        <w:t xml:space="preserve"> JV’s match funding</w:t>
      </w:r>
      <w:r w:rsidR="00730E3B">
        <w:rPr>
          <w:rFonts w:cs="Calibri"/>
          <w:szCs w:val="24"/>
        </w:rPr>
        <w:t xml:space="preserve"> for the Community Infrastructure Investment Programme, </w:t>
      </w:r>
      <w:r w:rsidR="000412AC">
        <w:rPr>
          <w:rFonts w:cs="Calibri"/>
          <w:szCs w:val="24"/>
        </w:rPr>
        <w:t xml:space="preserve"> would enable </w:t>
      </w:r>
      <w:r w:rsidR="00CA1308">
        <w:rPr>
          <w:rFonts w:cs="Calibri"/>
          <w:szCs w:val="24"/>
        </w:rPr>
        <w:t xml:space="preserve">BLSW11 and the </w:t>
      </w:r>
      <w:r w:rsidR="000412AC">
        <w:rPr>
          <w:rFonts w:cs="Calibri"/>
          <w:szCs w:val="24"/>
        </w:rPr>
        <w:t xml:space="preserve">Alliance </w:t>
      </w:r>
      <w:r w:rsidR="00C25B95">
        <w:rPr>
          <w:rFonts w:cs="Calibri"/>
          <w:szCs w:val="24"/>
        </w:rPr>
        <w:t>to work alongside the Housing and Regeneration teams to develop meaningful and lasti</w:t>
      </w:r>
      <w:r w:rsidR="00730E3B">
        <w:rPr>
          <w:rFonts w:cs="Calibri"/>
          <w:szCs w:val="24"/>
        </w:rPr>
        <w:t>ng engagement with local people, to build confidence, raise aspirations and promote self-reliance.</w:t>
      </w:r>
    </w:p>
    <w:p w:rsidR="00730E3B" w:rsidRPr="00730E3B" w:rsidRDefault="00730E3B" w:rsidP="00730E3B">
      <w:pPr>
        <w:pStyle w:val="ListParagraph"/>
        <w:rPr>
          <w:rFonts w:cs="Calibri"/>
          <w:szCs w:val="24"/>
        </w:rPr>
      </w:pPr>
    </w:p>
    <w:p w:rsidR="00C25B95" w:rsidRPr="00C25B95" w:rsidRDefault="00C25B95" w:rsidP="00C25B95">
      <w:pPr>
        <w:pStyle w:val="ListParagraph"/>
        <w:rPr>
          <w:rFonts w:cs="Calibri"/>
          <w:szCs w:val="24"/>
        </w:rPr>
      </w:pPr>
    </w:p>
    <w:p w:rsidR="00C25B95" w:rsidRDefault="00CA4FC0" w:rsidP="008D69B7">
      <w:pPr>
        <w:pStyle w:val="ListParagraph"/>
        <w:numPr>
          <w:ilvl w:val="1"/>
          <w:numId w:val="50"/>
        </w:numPr>
        <w:spacing w:before="120" w:after="120" w:line="240" w:lineRule="auto"/>
        <w:ind w:left="709" w:hanging="709"/>
        <w:rPr>
          <w:rFonts w:cs="Calibri"/>
          <w:szCs w:val="24"/>
        </w:rPr>
      </w:pPr>
      <w:r>
        <w:rPr>
          <w:rFonts w:cs="Calibri"/>
          <w:szCs w:val="24"/>
        </w:rPr>
        <w:t>The following sets out where the JV’s community investments might be deployed</w:t>
      </w:r>
      <w:r w:rsidR="00DA249B">
        <w:rPr>
          <w:rFonts w:cs="Calibri"/>
          <w:szCs w:val="24"/>
        </w:rPr>
        <w:t xml:space="preserve"> (to be agreed)</w:t>
      </w:r>
      <w:r>
        <w:rPr>
          <w:rFonts w:cs="Calibri"/>
          <w:szCs w:val="24"/>
        </w:rPr>
        <w:t>.</w:t>
      </w:r>
    </w:p>
    <w:p w:rsidR="00EA0147" w:rsidRDefault="00EA0147" w:rsidP="00EA0147">
      <w:pPr>
        <w:pStyle w:val="ListParagraph"/>
        <w:spacing w:before="120" w:after="120" w:line="240" w:lineRule="auto"/>
        <w:ind w:left="709"/>
        <w:rPr>
          <w:rFonts w:cs="Calibri"/>
          <w:szCs w:val="24"/>
        </w:rPr>
      </w:pPr>
    </w:p>
    <w:tbl>
      <w:tblPr>
        <w:tblStyle w:val="TableGrid"/>
        <w:tblW w:w="8716" w:type="dxa"/>
        <w:tblInd w:w="1138" w:type="dxa"/>
        <w:tblLook w:val="04A0"/>
      </w:tblPr>
      <w:tblGrid>
        <w:gridCol w:w="2372"/>
        <w:gridCol w:w="2830"/>
        <w:gridCol w:w="1242"/>
        <w:gridCol w:w="1136"/>
        <w:gridCol w:w="1136"/>
      </w:tblGrid>
      <w:tr w:rsidR="00DA583C" w:rsidRPr="009F72DD" w:rsidTr="005E3501">
        <w:trPr>
          <w:trHeight w:val="300"/>
        </w:trPr>
        <w:tc>
          <w:tcPr>
            <w:tcW w:w="2372" w:type="dxa"/>
            <w:noWrap/>
            <w:hideMark/>
          </w:tcPr>
          <w:p w:rsidR="00DA583C" w:rsidRPr="00DA583C" w:rsidRDefault="00DA583C" w:rsidP="00DA583C">
            <w:pPr>
              <w:spacing w:before="120" w:after="120"/>
              <w:jc w:val="center"/>
              <w:rPr>
                <w:rFonts w:cs="Calibri"/>
                <w:b/>
                <w:bCs/>
                <w:color w:val="000000"/>
                <w:szCs w:val="24"/>
              </w:rPr>
            </w:pPr>
            <w:r>
              <w:rPr>
                <w:rFonts w:cs="Calibri"/>
                <w:b/>
                <w:bCs/>
                <w:color w:val="000000"/>
                <w:szCs w:val="24"/>
              </w:rPr>
              <w:t>2019-2</w:t>
            </w:r>
            <w:r w:rsidR="007C7C24">
              <w:rPr>
                <w:rFonts w:cs="Calibri"/>
                <w:b/>
                <w:bCs/>
                <w:color w:val="000000"/>
                <w:szCs w:val="24"/>
              </w:rPr>
              <w:t>2</w:t>
            </w:r>
          </w:p>
        </w:tc>
        <w:tc>
          <w:tcPr>
            <w:tcW w:w="2936" w:type="dxa"/>
          </w:tcPr>
          <w:p w:rsidR="00DA583C" w:rsidRPr="00DA583C" w:rsidRDefault="00DA583C" w:rsidP="00DA583C">
            <w:pPr>
              <w:spacing w:before="120" w:after="120"/>
              <w:jc w:val="center"/>
              <w:rPr>
                <w:rFonts w:cs="Calibri"/>
                <w:b/>
                <w:bCs/>
                <w:color w:val="000000"/>
                <w:szCs w:val="24"/>
              </w:rPr>
            </w:pPr>
            <w:r w:rsidRPr="00DA583C">
              <w:rPr>
                <w:rFonts w:cs="Calibri"/>
                <w:b/>
                <w:bCs/>
                <w:color w:val="000000"/>
                <w:szCs w:val="24"/>
              </w:rPr>
              <w:t>Objectives</w:t>
            </w:r>
          </w:p>
        </w:tc>
        <w:tc>
          <w:tcPr>
            <w:tcW w:w="1136" w:type="dxa"/>
          </w:tcPr>
          <w:p w:rsidR="00DA583C" w:rsidRPr="00DA583C" w:rsidRDefault="00DA583C" w:rsidP="00DA583C">
            <w:pPr>
              <w:spacing w:before="120" w:after="120"/>
              <w:jc w:val="right"/>
              <w:rPr>
                <w:rFonts w:cs="Calibri"/>
                <w:b/>
                <w:bCs/>
                <w:color w:val="000000"/>
                <w:szCs w:val="24"/>
              </w:rPr>
            </w:pPr>
            <w:r w:rsidRPr="00DA583C">
              <w:rPr>
                <w:rFonts w:cs="Calibri"/>
                <w:b/>
                <w:bCs/>
                <w:color w:val="000000"/>
                <w:szCs w:val="24"/>
              </w:rPr>
              <w:t>B</w:t>
            </w:r>
            <w:r w:rsidR="008D1FF9">
              <w:rPr>
                <w:rFonts w:cs="Calibri"/>
                <w:b/>
                <w:bCs/>
                <w:color w:val="000000"/>
                <w:szCs w:val="24"/>
              </w:rPr>
              <w:t>LSW11</w:t>
            </w:r>
          </w:p>
        </w:tc>
        <w:tc>
          <w:tcPr>
            <w:tcW w:w="1136" w:type="dxa"/>
          </w:tcPr>
          <w:p w:rsidR="00DA583C" w:rsidRPr="00DA583C" w:rsidRDefault="00DA583C" w:rsidP="00DA583C">
            <w:pPr>
              <w:spacing w:before="120" w:after="120"/>
              <w:jc w:val="center"/>
              <w:rPr>
                <w:rFonts w:cs="Calibri"/>
                <w:b/>
                <w:bCs/>
                <w:color w:val="000000"/>
                <w:szCs w:val="24"/>
              </w:rPr>
            </w:pPr>
            <w:r>
              <w:rPr>
                <w:rFonts w:cs="Calibri"/>
                <w:b/>
                <w:bCs/>
                <w:color w:val="000000"/>
                <w:szCs w:val="24"/>
              </w:rPr>
              <w:t>JV</w:t>
            </w:r>
          </w:p>
        </w:tc>
        <w:tc>
          <w:tcPr>
            <w:tcW w:w="1136" w:type="dxa"/>
          </w:tcPr>
          <w:p w:rsidR="00DA583C" w:rsidRDefault="00DA583C" w:rsidP="00DA583C">
            <w:pPr>
              <w:spacing w:before="120" w:after="120"/>
              <w:jc w:val="center"/>
              <w:rPr>
                <w:rFonts w:cs="Calibri"/>
                <w:b/>
                <w:bCs/>
                <w:color w:val="000000"/>
                <w:szCs w:val="24"/>
              </w:rPr>
            </w:pPr>
            <w:r>
              <w:rPr>
                <w:rFonts w:cs="Calibri"/>
                <w:b/>
                <w:bCs/>
                <w:color w:val="000000"/>
                <w:szCs w:val="24"/>
              </w:rPr>
              <w:t>Total</w:t>
            </w:r>
          </w:p>
        </w:tc>
      </w:tr>
      <w:tr w:rsidR="00DA249B" w:rsidRPr="009F72DD" w:rsidTr="005E3501">
        <w:trPr>
          <w:trHeight w:val="300"/>
        </w:trPr>
        <w:tc>
          <w:tcPr>
            <w:tcW w:w="2372" w:type="dxa"/>
            <w:noWrap/>
            <w:hideMark/>
          </w:tcPr>
          <w:p w:rsidR="00DA249B" w:rsidRPr="009F72DD" w:rsidRDefault="00DA249B" w:rsidP="004A5AC5">
            <w:pPr>
              <w:spacing w:before="120" w:after="120"/>
              <w:rPr>
                <w:rFonts w:cs="Calibri"/>
                <w:bCs/>
                <w:color w:val="000000"/>
                <w:szCs w:val="24"/>
              </w:rPr>
            </w:pPr>
            <w:r w:rsidRPr="009F72DD">
              <w:rPr>
                <w:rFonts w:cs="Calibri"/>
                <w:bCs/>
                <w:color w:val="000000"/>
                <w:szCs w:val="24"/>
              </w:rPr>
              <w:t>Local Investment Fund</w:t>
            </w:r>
          </w:p>
        </w:tc>
        <w:tc>
          <w:tcPr>
            <w:tcW w:w="2936" w:type="dxa"/>
          </w:tcPr>
          <w:p w:rsidR="00DA249B" w:rsidRDefault="00DA249B" w:rsidP="004A5AC5">
            <w:pPr>
              <w:spacing w:before="120" w:after="120"/>
              <w:rPr>
                <w:rFonts w:cs="Calibri"/>
                <w:bCs/>
                <w:color w:val="000000"/>
                <w:szCs w:val="24"/>
              </w:rPr>
            </w:pPr>
            <w:r>
              <w:rPr>
                <w:rFonts w:cs="Calibri"/>
                <w:bCs/>
                <w:color w:val="000000"/>
                <w:szCs w:val="24"/>
              </w:rPr>
              <w:t>Battersea Youth Voice</w:t>
            </w:r>
          </w:p>
          <w:p w:rsidR="00DA249B" w:rsidRDefault="00DA249B" w:rsidP="004A5AC5">
            <w:pPr>
              <w:spacing w:before="120" w:after="120"/>
              <w:rPr>
                <w:rFonts w:cs="Calibri"/>
                <w:bCs/>
                <w:color w:val="000000"/>
                <w:szCs w:val="24"/>
              </w:rPr>
            </w:pPr>
            <w:r>
              <w:rPr>
                <w:rFonts w:cs="Calibri"/>
                <w:bCs/>
                <w:color w:val="000000"/>
                <w:szCs w:val="24"/>
              </w:rPr>
              <w:t>Volunteer Coordination</w:t>
            </w:r>
          </w:p>
          <w:p w:rsidR="002164B5" w:rsidRDefault="002164B5" w:rsidP="002164B5">
            <w:pPr>
              <w:spacing w:before="120" w:after="120"/>
              <w:rPr>
                <w:rFonts w:cs="Calibri"/>
                <w:bCs/>
                <w:color w:val="000000"/>
                <w:sz w:val="24"/>
                <w:szCs w:val="24"/>
              </w:rPr>
            </w:pPr>
          </w:p>
        </w:tc>
        <w:tc>
          <w:tcPr>
            <w:tcW w:w="1136" w:type="dxa"/>
          </w:tcPr>
          <w:p w:rsidR="00DA249B" w:rsidRDefault="00DA249B" w:rsidP="004A5AC5">
            <w:pPr>
              <w:spacing w:before="120" w:after="120"/>
              <w:jc w:val="right"/>
              <w:rPr>
                <w:rFonts w:cs="Calibri"/>
                <w:bCs/>
                <w:color w:val="000000"/>
                <w:szCs w:val="24"/>
              </w:rPr>
            </w:pPr>
            <w:r>
              <w:rPr>
                <w:rFonts w:cs="Calibri"/>
                <w:bCs/>
                <w:color w:val="000000"/>
                <w:szCs w:val="24"/>
              </w:rPr>
              <w:t>25,000</w:t>
            </w:r>
          </w:p>
          <w:p w:rsidR="00DA249B" w:rsidRPr="009F72DD" w:rsidRDefault="00DA249B" w:rsidP="004A5AC5">
            <w:pPr>
              <w:spacing w:before="120" w:after="120"/>
              <w:jc w:val="right"/>
              <w:rPr>
                <w:rFonts w:cs="Calibri"/>
                <w:bCs/>
                <w:color w:val="000000"/>
                <w:szCs w:val="24"/>
              </w:rPr>
            </w:pPr>
            <w:r>
              <w:rPr>
                <w:rFonts w:cs="Calibri"/>
                <w:bCs/>
                <w:color w:val="000000"/>
                <w:szCs w:val="24"/>
              </w:rPr>
              <w:t>25,000</w:t>
            </w:r>
          </w:p>
        </w:tc>
        <w:tc>
          <w:tcPr>
            <w:tcW w:w="1136" w:type="dxa"/>
          </w:tcPr>
          <w:p w:rsidR="00DA249B" w:rsidRDefault="00DA249B" w:rsidP="004A5AC5">
            <w:pPr>
              <w:spacing w:before="120" w:after="120"/>
              <w:jc w:val="right"/>
              <w:rPr>
                <w:rFonts w:cs="Calibri"/>
                <w:bCs/>
                <w:color w:val="000000"/>
                <w:szCs w:val="24"/>
              </w:rPr>
            </w:pPr>
            <w:r>
              <w:rPr>
                <w:rFonts w:cs="Calibri"/>
                <w:bCs/>
                <w:color w:val="000000"/>
                <w:szCs w:val="24"/>
              </w:rPr>
              <w:t>25,000</w:t>
            </w:r>
          </w:p>
          <w:p w:rsidR="00DA249B" w:rsidRPr="009F72DD" w:rsidRDefault="00DA249B" w:rsidP="004A5AC5">
            <w:pPr>
              <w:spacing w:before="120" w:after="120"/>
              <w:jc w:val="right"/>
              <w:rPr>
                <w:rFonts w:cs="Calibri"/>
                <w:bCs/>
                <w:color w:val="000000"/>
                <w:szCs w:val="24"/>
              </w:rPr>
            </w:pPr>
            <w:r>
              <w:rPr>
                <w:rFonts w:cs="Calibri"/>
                <w:bCs/>
                <w:color w:val="000000"/>
                <w:szCs w:val="24"/>
              </w:rPr>
              <w:t>25,000</w:t>
            </w:r>
          </w:p>
        </w:tc>
        <w:tc>
          <w:tcPr>
            <w:tcW w:w="1136" w:type="dxa"/>
          </w:tcPr>
          <w:p w:rsidR="00DA249B" w:rsidRDefault="00DA249B" w:rsidP="004A5AC5">
            <w:pPr>
              <w:spacing w:before="120" w:after="120"/>
              <w:jc w:val="right"/>
              <w:rPr>
                <w:rFonts w:cs="Calibri"/>
                <w:bCs/>
                <w:color w:val="000000"/>
                <w:szCs w:val="24"/>
              </w:rPr>
            </w:pPr>
            <w:r>
              <w:rPr>
                <w:rFonts w:cs="Calibri"/>
                <w:bCs/>
                <w:color w:val="000000"/>
                <w:szCs w:val="24"/>
              </w:rPr>
              <w:t>50,000</w:t>
            </w:r>
          </w:p>
          <w:p w:rsidR="00DA249B" w:rsidRDefault="00DA249B" w:rsidP="004A5AC5">
            <w:pPr>
              <w:spacing w:before="120" w:after="120"/>
              <w:jc w:val="right"/>
              <w:rPr>
                <w:rFonts w:cs="Calibri"/>
                <w:bCs/>
                <w:color w:val="000000"/>
                <w:szCs w:val="24"/>
              </w:rPr>
            </w:pPr>
            <w:r>
              <w:rPr>
                <w:rFonts w:cs="Calibri"/>
                <w:bCs/>
                <w:color w:val="000000"/>
                <w:szCs w:val="24"/>
              </w:rPr>
              <w:t>50,000</w:t>
            </w:r>
          </w:p>
        </w:tc>
      </w:tr>
      <w:tr w:rsidR="005E3501" w:rsidRPr="009F72DD" w:rsidTr="005E3501">
        <w:trPr>
          <w:trHeight w:val="300"/>
        </w:trPr>
        <w:tc>
          <w:tcPr>
            <w:tcW w:w="2372" w:type="dxa"/>
            <w:noWrap/>
            <w:hideMark/>
          </w:tcPr>
          <w:p w:rsidR="005E3501" w:rsidRPr="009F72DD" w:rsidRDefault="005E3501" w:rsidP="004A5AC5">
            <w:pPr>
              <w:spacing w:before="120" w:after="120"/>
              <w:rPr>
                <w:rFonts w:cs="Calibri"/>
                <w:bCs/>
                <w:color w:val="000000"/>
                <w:szCs w:val="24"/>
              </w:rPr>
            </w:pPr>
            <w:r w:rsidRPr="009F72DD">
              <w:rPr>
                <w:rFonts w:cs="Calibri"/>
                <w:bCs/>
                <w:color w:val="000000"/>
                <w:szCs w:val="24"/>
              </w:rPr>
              <w:t>Big Local Alliance</w:t>
            </w:r>
          </w:p>
        </w:tc>
        <w:tc>
          <w:tcPr>
            <w:tcW w:w="2936" w:type="dxa"/>
          </w:tcPr>
          <w:p w:rsidR="005E3501" w:rsidRDefault="005E3501" w:rsidP="004A5AC5">
            <w:pPr>
              <w:spacing w:before="120" w:after="120"/>
              <w:rPr>
                <w:rFonts w:cs="Calibri"/>
                <w:bCs/>
                <w:color w:val="000000"/>
                <w:szCs w:val="24"/>
              </w:rPr>
            </w:pPr>
            <w:r>
              <w:rPr>
                <w:rFonts w:cs="Calibri"/>
                <w:bCs/>
                <w:color w:val="000000"/>
                <w:szCs w:val="24"/>
              </w:rPr>
              <w:t>The development of a community development and strategic approach, releasing staff time, volunteers and use of community spaces</w:t>
            </w:r>
          </w:p>
        </w:tc>
        <w:tc>
          <w:tcPr>
            <w:tcW w:w="1136" w:type="dxa"/>
          </w:tcPr>
          <w:p w:rsidR="005E3501" w:rsidRDefault="005E3501" w:rsidP="004A5AC5">
            <w:pPr>
              <w:spacing w:before="120" w:after="120"/>
              <w:jc w:val="right"/>
              <w:rPr>
                <w:rFonts w:cs="Calibri"/>
                <w:bCs/>
                <w:color w:val="000000"/>
                <w:szCs w:val="24"/>
              </w:rPr>
            </w:pPr>
            <w:r w:rsidRPr="009F72DD">
              <w:rPr>
                <w:rFonts w:cs="Calibri"/>
                <w:bCs/>
                <w:color w:val="000000"/>
                <w:szCs w:val="24"/>
              </w:rPr>
              <w:t>25</w:t>
            </w:r>
            <w:r>
              <w:rPr>
                <w:rFonts w:cs="Calibri"/>
                <w:bCs/>
                <w:color w:val="000000"/>
                <w:szCs w:val="24"/>
              </w:rPr>
              <w:t>,</w:t>
            </w:r>
            <w:r w:rsidRPr="009F72DD">
              <w:rPr>
                <w:rFonts w:cs="Calibri"/>
                <w:bCs/>
                <w:color w:val="000000"/>
                <w:szCs w:val="24"/>
              </w:rPr>
              <w:t>000</w:t>
            </w:r>
          </w:p>
        </w:tc>
        <w:tc>
          <w:tcPr>
            <w:tcW w:w="1136" w:type="dxa"/>
          </w:tcPr>
          <w:p w:rsidR="005E3501" w:rsidRDefault="005E3501" w:rsidP="004A5AC5">
            <w:pPr>
              <w:spacing w:before="120" w:after="120"/>
              <w:jc w:val="right"/>
              <w:rPr>
                <w:rFonts w:cs="Calibri"/>
                <w:bCs/>
                <w:color w:val="000000"/>
                <w:szCs w:val="24"/>
              </w:rPr>
            </w:pPr>
            <w:r>
              <w:rPr>
                <w:rFonts w:cs="Calibri"/>
                <w:bCs/>
                <w:color w:val="000000"/>
                <w:szCs w:val="24"/>
              </w:rPr>
              <w:t>25,000</w:t>
            </w:r>
          </w:p>
        </w:tc>
        <w:tc>
          <w:tcPr>
            <w:tcW w:w="1136" w:type="dxa"/>
          </w:tcPr>
          <w:p w:rsidR="005E3501" w:rsidRDefault="005E3501" w:rsidP="004A5AC5">
            <w:pPr>
              <w:spacing w:before="120" w:after="120"/>
              <w:jc w:val="right"/>
              <w:rPr>
                <w:rFonts w:cs="Calibri"/>
                <w:bCs/>
                <w:color w:val="000000"/>
                <w:szCs w:val="24"/>
              </w:rPr>
            </w:pPr>
            <w:r>
              <w:rPr>
                <w:rFonts w:cs="Calibri"/>
                <w:bCs/>
                <w:color w:val="000000"/>
                <w:szCs w:val="24"/>
              </w:rPr>
              <w:t>50,000</w:t>
            </w:r>
          </w:p>
        </w:tc>
      </w:tr>
      <w:tr w:rsidR="00DA583C" w:rsidRPr="009F72DD" w:rsidTr="005E3501">
        <w:trPr>
          <w:trHeight w:val="300"/>
        </w:trPr>
        <w:tc>
          <w:tcPr>
            <w:tcW w:w="2372" w:type="dxa"/>
            <w:noWrap/>
            <w:hideMark/>
          </w:tcPr>
          <w:p w:rsidR="00DA583C" w:rsidRPr="009F72DD" w:rsidRDefault="00DA583C" w:rsidP="00DA583C">
            <w:pPr>
              <w:spacing w:before="120" w:after="120"/>
              <w:rPr>
                <w:rFonts w:cs="Calibri"/>
                <w:bCs/>
                <w:color w:val="000000"/>
                <w:szCs w:val="24"/>
              </w:rPr>
            </w:pPr>
            <w:r w:rsidRPr="009F72DD">
              <w:rPr>
                <w:rFonts w:cs="Calibri"/>
                <w:bCs/>
                <w:color w:val="000000"/>
                <w:szCs w:val="24"/>
              </w:rPr>
              <w:t>Festival</w:t>
            </w:r>
          </w:p>
        </w:tc>
        <w:tc>
          <w:tcPr>
            <w:tcW w:w="2936" w:type="dxa"/>
          </w:tcPr>
          <w:p w:rsidR="00DA583C" w:rsidRPr="009F72DD" w:rsidRDefault="008C764C" w:rsidP="00DA583C">
            <w:pPr>
              <w:spacing w:before="120" w:after="120"/>
              <w:rPr>
                <w:rFonts w:cs="Calibri"/>
                <w:bCs/>
                <w:color w:val="000000"/>
                <w:szCs w:val="24"/>
              </w:rPr>
            </w:pPr>
            <w:r>
              <w:rPr>
                <w:rFonts w:cs="Calibri"/>
                <w:bCs/>
                <w:color w:val="000000"/>
                <w:szCs w:val="24"/>
              </w:rPr>
              <w:t>Celebrating ‘Battersea Together’ while serving as a focal point for community engagement</w:t>
            </w:r>
          </w:p>
        </w:tc>
        <w:tc>
          <w:tcPr>
            <w:tcW w:w="1136" w:type="dxa"/>
          </w:tcPr>
          <w:p w:rsidR="00DA583C" w:rsidRPr="009F72DD" w:rsidRDefault="00DA583C" w:rsidP="00DA583C">
            <w:pPr>
              <w:spacing w:before="120" w:after="120"/>
              <w:jc w:val="right"/>
              <w:rPr>
                <w:rFonts w:cs="Calibri"/>
                <w:bCs/>
                <w:color w:val="000000"/>
                <w:szCs w:val="24"/>
              </w:rPr>
            </w:pPr>
            <w:r w:rsidRPr="009F72DD">
              <w:rPr>
                <w:rFonts w:cs="Calibri"/>
                <w:bCs/>
                <w:color w:val="000000"/>
                <w:szCs w:val="24"/>
              </w:rPr>
              <w:t>15</w:t>
            </w:r>
            <w:r w:rsidR="00DA249B">
              <w:rPr>
                <w:rFonts w:cs="Calibri"/>
                <w:bCs/>
                <w:color w:val="000000"/>
                <w:szCs w:val="24"/>
              </w:rPr>
              <w:t>,</w:t>
            </w:r>
            <w:r w:rsidRPr="009F72DD">
              <w:rPr>
                <w:rFonts w:cs="Calibri"/>
                <w:bCs/>
                <w:color w:val="000000"/>
                <w:szCs w:val="24"/>
              </w:rPr>
              <w:t>000</w:t>
            </w:r>
          </w:p>
        </w:tc>
        <w:tc>
          <w:tcPr>
            <w:tcW w:w="1136" w:type="dxa"/>
          </w:tcPr>
          <w:p w:rsidR="00DA583C" w:rsidRPr="009F72DD" w:rsidRDefault="00DA583C" w:rsidP="00DA583C">
            <w:pPr>
              <w:spacing w:before="120" w:after="120"/>
              <w:jc w:val="right"/>
              <w:rPr>
                <w:rFonts w:cs="Calibri"/>
                <w:bCs/>
                <w:color w:val="000000"/>
                <w:szCs w:val="24"/>
              </w:rPr>
            </w:pPr>
            <w:r>
              <w:rPr>
                <w:rFonts w:cs="Calibri"/>
                <w:bCs/>
                <w:color w:val="000000"/>
                <w:szCs w:val="24"/>
              </w:rPr>
              <w:t>15</w:t>
            </w:r>
            <w:r w:rsidR="00DA249B">
              <w:rPr>
                <w:rFonts w:cs="Calibri"/>
                <w:bCs/>
                <w:color w:val="000000"/>
                <w:szCs w:val="24"/>
              </w:rPr>
              <w:t>,</w:t>
            </w:r>
            <w:r>
              <w:rPr>
                <w:rFonts w:cs="Calibri"/>
                <w:bCs/>
                <w:color w:val="000000"/>
                <w:szCs w:val="24"/>
              </w:rPr>
              <w:t>000</w:t>
            </w:r>
          </w:p>
        </w:tc>
        <w:tc>
          <w:tcPr>
            <w:tcW w:w="1136" w:type="dxa"/>
          </w:tcPr>
          <w:p w:rsidR="00DA583C" w:rsidRDefault="00DA583C" w:rsidP="00DA583C">
            <w:pPr>
              <w:spacing w:before="120" w:after="120"/>
              <w:jc w:val="right"/>
              <w:rPr>
                <w:rFonts w:cs="Calibri"/>
                <w:bCs/>
                <w:color w:val="000000"/>
                <w:szCs w:val="24"/>
              </w:rPr>
            </w:pPr>
            <w:r>
              <w:rPr>
                <w:rFonts w:cs="Calibri"/>
                <w:bCs/>
                <w:color w:val="000000"/>
                <w:szCs w:val="24"/>
              </w:rPr>
              <w:t>30</w:t>
            </w:r>
            <w:r w:rsidR="00DA249B">
              <w:rPr>
                <w:rFonts w:cs="Calibri"/>
                <w:bCs/>
                <w:color w:val="000000"/>
                <w:szCs w:val="24"/>
              </w:rPr>
              <w:t>,</w:t>
            </w:r>
            <w:r>
              <w:rPr>
                <w:rFonts w:cs="Calibri"/>
                <w:bCs/>
                <w:color w:val="000000"/>
                <w:szCs w:val="24"/>
              </w:rPr>
              <w:t>000</w:t>
            </w:r>
          </w:p>
        </w:tc>
      </w:tr>
      <w:tr w:rsidR="00DA583C" w:rsidRPr="009F72DD" w:rsidTr="005E3501">
        <w:trPr>
          <w:trHeight w:val="300"/>
        </w:trPr>
        <w:tc>
          <w:tcPr>
            <w:tcW w:w="2372" w:type="dxa"/>
            <w:noWrap/>
            <w:hideMark/>
          </w:tcPr>
          <w:p w:rsidR="00DA583C" w:rsidRPr="009F72DD" w:rsidRDefault="00DA583C" w:rsidP="00DA583C">
            <w:pPr>
              <w:spacing w:before="120" w:after="120"/>
              <w:rPr>
                <w:rFonts w:cs="Calibri"/>
                <w:bCs/>
                <w:color w:val="000000"/>
                <w:szCs w:val="24"/>
              </w:rPr>
            </w:pPr>
            <w:r w:rsidRPr="009F72DD">
              <w:rPr>
                <w:rFonts w:cs="Calibri"/>
                <w:bCs/>
                <w:color w:val="000000"/>
                <w:szCs w:val="24"/>
              </w:rPr>
              <w:t>Grants</w:t>
            </w:r>
          </w:p>
        </w:tc>
        <w:tc>
          <w:tcPr>
            <w:tcW w:w="2936" w:type="dxa"/>
          </w:tcPr>
          <w:p w:rsidR="00DA583C" w:rsidRPr="009F72DD" w:rsidRDefault="008C764C" w:rsidP="00DA583C">
            <w:pPr>
              <w:spacing w:before="120" w:after="120"/>
              <w:rPr>
                <w:rFonts w:cs="Calibri"/>
                <w:bCs/>
                <w:color w:val="000000"/>
                <w:szCs w:val="24"/>
              </w:rPr>
            </w:pPr>
            <w:r>
              <w:rPr>
                <w:rFonts w:cs="Calibri"/>
                <w:bCs/>
                <w:color w:val="000000"/>
                <w:szCs w:val="24"/>
              </w:rPr>
              <w:t xml:space="preserve">Targeted at local people </w:t>
            </w:r>
            <w:r w:rsidR="00DA249B">
              <w:rPr>
                <w:rFonts w:cs="Calibri"/>
                <w:bCs/>
                <w:color w:val="000000"/>
                <w:szCs w:val="24"/>
              </w:rPr>
              <w:t xml:space="preserve">and organisations </w:t>
            </w:r>
            <w:r>
              <w:rPr>
                <w:rFonts w:cs="Calibri"/>
                <w:bCs/>
                <w:color w:val="000000"/>
                <w:szCs w:val="24"/>
              </w:rPr>
              <w:t>as ‘seed’ funding for potential social enterprises</w:t>
            </w:r>
            <w:r w:rsidR="00DA249B">
              <w:rPr>
                <w:rFonts w:cs="Calibri"/>
                <w:bCs/>
                <w:color w:val="000000"/>
                <w:szCs w:val="24"/>
              </w:rPr>
              <w:t xml:space="preserve"> and businesses </w:t>
            </w:r>
          </w:p>
        </w:tc>
        <w:tc>
          <w:tcPr>
            <w:tcW w:w="1136" w:type="dxa"/>
          </w:tcPr>
          <w:p w:rsidR="00DA583C" w:rsidRPr="009F72DD" w:rsidRDefault="00DA583C" w:rsidP="00DA583C">
            <w:pPr>
              <w:spacing w:before="120" w:after="120"/>
              <w:jc w:val="right"/>
              <w:rPr>
                <w:rFonts w:cs="Calibri"/>
                <w:bCs/>
                <w:color w:val="000000"/>
                <w:szCs w:val="24"/>
              </w:rPr>
            </w:pPr>
            <w:r w:rsidRPr="009F72DD">
              <w:rPr>
                <w:rFonts w:cs="Calibri"/>
                <w:bCs/>
                <w:color w:val="000000"/>
                <w:szCs w:val="24"/>
              </w:rPr>
              <w:t>20</w:t>
            </w:r>
            <w:r w:rsidR="00DA249B">
              <w:rPr>
                <w:rFonts w:cs="Calibri"/>
                <w:bCs/>
                <w:color w:val="000000"/>
                <w:szCs w:val="24"/>
              </w:rPr>
              <w:t>,</w:t>
            </w:r>
            <w:r w:rsidRPr="009F72DD">
              <w:rPr>
                <w:rFonts w:cs="Calibri"/>
                <w:bCs/>
                <w:color w:val="000000"/>
                <w:szCs w:val="24"/>
              </w:rPr>
              <w:t>000</w:t>
            </w:r>
          </w:p>
        </w:tc>
        <w:tc>
          <w:tcPr>
            <w:tcW w:w="1136" w:type="dxa"/>
          </w:tcPr>
          <w:p w:rsidR="00DA583C" w:rsidRPr="009F72DD" w:rsidRDefault="00DA583C" w:rsidP="00DA583C">
            <w:pPr>
              <w:spacing w:before="120" w:after="120"/>
              <w:jc w:val="right"/>
              <w:rPr>
                <w:rFonts w:cs="Calibri"/>
                <w:bCs/>
                <w:color w:val="000000"/>
                <w:szCs w:val="24"/>
              </w:rPr>
            </w:pPr>
            <w:r>
              <w:rPr>
                <w:rFonts w:cs="Calibri"/>
                <w:bCs/>
                <w:color w:val="000000"/>
                <w:szCs w:val="24"/>
              </w:rPr>
              <w:t>20</w:t>
            </w:r>
            <w:r w:rsidR="00DA249B">
              <w:rPr>
                <w:rFonts w:cs="Calibri"/>
                <w:bCs/>
                <w:color w:val="000000"/>
                <w:szCs w:val="24"/>
              </w:rPr>
              <w:t>,</w:t>
            </w:r>
            <w:r>
              <w:rPr>
                <w:rFonts w:cs="Calibri"/>
                <w:bCs/>
                <w:color w:val="000000"/>
                <w:szCs w:val="24"/>
              </w:rPr>
              <w:t>000</w:t>
            </w:r>
          </w:p>
        </w:tc>
        <w:tc>
          <w:tcPr>
            <w:tcW w:w="1136" w:type="dxa"/>
          </w:tcPr>
          <w:p w:rsidR="00DA583C" w:rsidRDefault="00DA583C" w:rsidP="00DA583C">
            <w:pPr>
              <w:spacing w:before="120" w:after="120"/>
              <w:jc w:val="right"/>
              <w:rPr>
                <w:rFonts w:cs="Calibri"/>
                <w:bCs/>
                <w:color w:val="000000"/>
                <w:szCs w:val="24"/>
              </w:rPr>
            </w:pPr>
            <w:r>
              <w:rPr>
                <w:rFonts w:cs="Calibri"/>
                <w:bCs/>
                <w:color w:val="000000"/>
                <w:szCs w:val="24"/>
              </w:rPr>
              <w:t>40</w:t>
            </w:r>
            <w:r w:rsidR="00DA249B">
              <w:rPr>
                <w:rFonts w:cs="Calibri"/>
                <w:bCs/>
                <w:color w:val="000000"/>
                <w:szCs w:val="24"/>
              </w:rPr>
              <w:t>,</w:t>
            </w:r>
            <w:r>
              <w:rPr>
                <w:rFonts w:cs="Calibri"/>
                <w:bCs/>
                <w:color w:val="000000"/>
                <w:szCs w:val="24"/>
              </w:rPr>
              <w:t>000</w:t>
            </w:r>
          </w:p>
        </w:tc>
      </w:tr>
      <w:tr w:rsidR="00DA583C" w:rsidRPr="009F72DD" w:rsidTr="005E3501">
        <w:trPr>
          <w:trHeight w:val="300"/>
        </w:trPr>
        <w:tc>
          <w:tcPr>
            <w:tcW w:w="2372" w:type="dxa"/>
            <w:noWrap/>
            <w:hideMark/>
          </w:tcPr>
          <w:p w:rsidR="00DA583C" w:rsidRPr="009F72DD" w:rsidRDefault="00DA583C" w:rsidP="00DA583C">
            <w:pPr>
              <w:spacing w:before="120" w:after="120"/>
              <w:rPr>
                <w:rFonts w:cs="Calibri"/>
                <w:bCs/>
                <w:color w:val="000000"/>
                <w:szCs w:val="24"/>
              </w:rPr>
            </w:pPr>
            <w:r w:rsidRPr="009F72DD">
              <w:rPr>
                <w:rFonts w:cs="Calibri"/>
                <w:bCs/>
                <w:color w:val="000000"/>
                <w:szCs w:val="24"/>
              </w:rPr>
              <w:t>Intergenerational</w:t>
            </w:r>
          </w:p>
        </w:tc>
        <w:tc>
          <w:tcPr>
            <w:tcW w:w="2936" w:type="dxa"/>
          </w:tcPr>
          <w:p w:rsidR="00DA583C" w:rsidRPr="009F72DD" w:rsidRDefault="008C764C" w:rsidP="00DA583C">
            <w:pPr>
              <w:spacing w:before="120" w:after="120"/>
              <w:rPr>
                <w:rFonts w:cs="Calibri"/>
                <w:bCs/>
                <w:color w:val="000000"/>
                <w:szCs w:val="24"/>
              </w:rPr>
            </w:pPr>
            <w:r>
              <w:rPr>
                <w:rFonts w:cs="Calibri"/>
                <w:bCs/>
                <w:color w:val="000000"/>
                <w:szCs w:val="24"/>
              </w:rPr>
              <w:t>A range of projects linking people across the generations</w:t>
            </w:r>
          </w:p>
        </w:tc>
        <w:tc>
          <w:tcPr>
            <w:tcW w:w="1136" w:type="dxa"/>
          </w:tcPr>
          <w:p w:rsidR="00DA583C" w:rsidRPr="009F72DD" w:rsidRDefault="00DA583C" w:rsidP="00DA583C">
            <w:pPr>
              <w:spacing w:before="120" w:after="120"/>
              <w:jc w:val="right"/>
              <w:rPr>
                <w:rFonts w:cs="Calibri"/>
                <w:bCs/>
                <w:color w:val="000000"/>
                <w:szCs w:val="24"/>
              </w:rPr>
            </w:pPr>
            <w:r w:rsidRPr="009F72DD">
              <w:rPr>
                <w:rFonts w:cs="Calibri"/>
                <w:bCs/>
                <w:color w:val="000000"/>
                <w:szCs w:val="24"/>
              </w:rPr>
              <w:t>10</w:t>
            </w:r>
            <w:r w:rsidR="00DA249B">
              <w:rPr>
                <w:rFonts w:cs="Calibri"/>
                <w:bCs/>
                <w:color w:val="000000"/>
                <w:szCs w:val="24"/>
              </w:rPr>
              <w:t>,</w:t>
            </w:r>
            <w:r w:rsidRPr="009F72DD">
              <w:rPr>
                <w:rFonts w:cs="Calibri"/>
                <w:bCs/>
                <w:color w:val="000000"/>
                <w:szCs w:val="24"/>
              </w:rPr>
              <w:t>000</w:t>
            </w:r>
          </w:p>
        </w:tc>
        <w:tc>
          <w:tcPr>
            <w:tcW w:w="1136" w:type="dxa"/>
          </w:tcPr>
          <w:p w:rsidR="00DA583C" w:rsidRPr="009F72DD" w:rsidRDefault="00DA583C" w:rsidP="00DA583C">
            <w:pPr>
              <w:spacing w:before="120" w:after="120"/>
              <w:jc w:val="right"/>
              <w:rPr>
                <w:rFonts w:cs="Calibri"/>
                <w:bCs/>
                <w:color w:val="000000"/>
                <w:szCs w:val="24"/>
              </w:rPr>
            </w:pPr>
            <w:r>
              <w:rPr>
                <w:rFonts w:cs="Calibri"/>
                <w:bCs/>
                <w:color w:val="000000"/>
                <w:szCs w:val="24"/>
              </w:rPr>
              <w:t>10</w:t>
            </w:r>
            <w:r w:rsidR="00DA249B">
              <w:rPr>
                <w:rFonts w:cs="Calibri"/>
                <w:bCs/>
                <w:color w:val="000000"/>
                <w:szCs w:val="24"/>
              </w:rPr>
              <w:t>,</w:t>
            </w:r>
            <w:r>
              <w:rPr>
                <w:rFonts w:cs="Calibri"/>
                <w:bCs/>
                <w:color w:val="000000"/>
                <w:szCs w:val="24"/>
              </w:rPr>
              <w:t>000</w:t>
            </w:r>
          </w:p>
        </w:tc>
        <w:tc>
          <w:tcPr>
            <w:tcW w:w="1136" w:type="dxa"/>
          </w:tcPr>
          <w:p w:rsidR="00DA583C" w:rsidRDefault="00DA583C" w:rsidP="00DA583C">
            <w:pPr>
              <w:spacing w:before="120" w:after="120"/>
              <w:jc w:val="right"/>
              <w:rPr>
                <w:rFonts w:cs="Calibri"/>
                <w:bCs/>
                <w:color w:val="000000"/>
                <w:szCs w:val="24"/>
              </w:rPr>
            </w:pPr>
            <w:r>
              <w:rPr>
                <w:rFonts w:cs="Calibri"/>
                <w:bCs/>
                <w:color w:val="000000"/>
                <w:szCs w:val="24"/>
              </w:rPr>
              <w:t>20</w:t>
            </w:r>
            <w:r w:rsidR="00DA249B">
              <w:rPr>
                <w:rFonts w:cs="Calibri"/>
                <w:bCs/>
                <w:color w:val="000000"/>
                <w:szCs w:val="24"/>
              </w:rPr>
              <w:t>,</w:t>
            </w:r>
            <w:r>
              <w:rPr>
                <w:rFonts w:cs="Calibri"/>
                <w:bCs/>
                <w:color w:val="000000"/>
                <w:szCs w:val="24"/>
              </w:rPr>
              <w:t>000</w:t>
            </w:r>
          </w:p>
        </w:tc>
      </w:tr>
      <w:tr w:rsidR="00DA583C" w:rsidRPr="009F72DD" w:rsidTr="005E3501">
        <w:trPr>
          <w:trHeight w:val="300"/>
        </w:trPr>
        <w:tc>
          <w:tcPr>
            <w:tcW w:w="2372" w:type="dxa"/>
            <w:noWrap/>
            <w:hideMark/>
          </w:tcPr>
          <w:p w:rsidR="00DA583C" w:rsidRPr="009F72DD" w:rsidRDefault="00DA583C" w:rsidP="00DA583C">
            <w:pPr>
              <w:spacing w:before="120" w:after="120"/>
              <w:jc w:val="right"/>
              <w:rPr>
                <w:rFonts w:cs="Calibri"/>
                <w:bCs/>
                <w:color w:val="000000"/>
                <w:szCs w:val="24"/>
              </w:rPr>
            </w:pPr>
          </w:p>
        </w:tc>
        <w:tc>
          <w:tcPr>
            <w:tcW w:w="2936" w:type="dxa"/>
          </w:tcPr>
          <w:p w:rsidR="00DA583C" w:rsidRPr="009F72DD" w:rsidRDefault="00DA583C" w:rsidP="00DA583C">
            <w:pPr>
              <w:spacing w:before="120" w:after="120"/>
              <w:jc w:val="right"/>
              <w:rPr>
                <w:rFonts w:cs="Calibri"/>
                <w:bCs/>
                <w:color w:val="000000"/>
                <w:szCs w:val="24"/>
              </w:rPr>
            </w:pPr>
            <w:r w:rsidRPr="009F72DD">
              <w:rPr>
                <w:rFonts w:cs="Calibri"/>
                <w:bCs/>
                <w:color w:val="000000"/>
                <w:szCs w:val="24"/>
              </w:rPr>
              <w:t>Sub Total</w:t>
            </w:r>
          </w:p>
        </w:tc>
        <w:tc>
          <w:tcPr>
            <w:tcW w:w="1136" w:type="dxa"/>
          </w:tcPr>
          <w:p w:rsidR="00DA583C" w:rsidRPr="009F72DD" w:rsidRDefault="00062886" w:rsidP="00DA583C">
            <w:pPr>
              <w:spacing w:before="120" w:after="120"/>
              <w:jc w:val="right"/>
              <w:rPr>
                <w:rFonts w:cs="Calibri"/>
                <w:bCs/>
                <w:color w:val="000000"/>
                <w:szCs w:val="24"/>
              </w:rPr>
            </w:pPr>
            <w:r w:rsidRPr="009F72DD">
              <w:rPr>
                <w:rFonts w:cs="Calibri"/>
                <w:bCs/>
                <w:color w:val="000000"/>
                <w:szCs w:val="24"/>
              </w:rPr>
              <w:fldChar w:fldCharType="begin"/>
            </w:r>
            <w:r w:rsidR="00DA583C" w:rsidRPr="009F72DD">
              <w:rPr>
                <w:rFonts w:cs="Calibri"/>
                <w:bCs/>
                <w:color w:val="000000"/>
                <w:szCs w:val="24"/>
              </w:rPr>
              <w:instrText xml:space="preserve"> =SUM(ABOVE) </w:instrText>
            </w:r>
            <w:r w:rsidRPr="009F72DD">
              <w:rPr>
                <w:rFonts w:cs="Calibri"/>
                <w:bCs/>
                <w:color w:val="000000"/>
                <w:szCs w:val="24"/>
              </w:rPr>
              <w:fldChar w:fldCharType="separate"/>
            </w:r>
            <w:r w:rsidR="00DA583C" w:rsidRPr="009F72DD">
              <w:rPr>
                <w:rFonts w:cs="Calibri"/>
                <w:bCs/>
                <w:noProof/>
                <w:color w:val="000000"/>
                <w:szCs w:val="24"/>
              </w:rPr>
              <w:t>120</w:t>
            </w:r>
            <w:r w:rsidR="00DA249B">
              <w:rPr>
                <w:rFonts w:cs="Calibri"/>
                <w:bCs/>
                <w:noProof/>
                <w:color w:val="000000"/>
                <w:szCs w:val="24"/>
              </w:rPr>
              <w:t>,</w:t>
            </w:r>
            <w:r w:rsidR="00DA583C" w:rsidRPr="009F72DD">
              <w:rPr>
                <w:rFonts w:cs="Calibri"/>
                <w:bCs/>
                <w:noProof/>
                <w:color w:val="000000"/>
                <w:szCs w:val="24"/>
              </w:rPr>
              <w:t>000</w:t>
            </w:r>
            <w:r w:rsidRPr="009F72DD">
              <w:rPr>
                <w:rFonts w:cs="Calibri"/>
                <w:bCs/>
                <w:color w:val="000000"/>
                <w:szCs w:val="24"/>
              </w:rPr>
              <w:fldChar w:fldCharType="end"/>
            </w:r>
          </w:p>
        </w:tc>
        <w:tc>
          <w:tcPr>
            <w:tcW w:w="1136" w:type="dxa"/>
          </w:tcPr>
          <w:p w:rsidR="00DA583C" w:rsidRPr="009F72DD" w:rsidRDefault="00DA583C" w:rsidP="00DA583C">
            <w:pPr>
              <w:spacing w:before="120" w:after="120"/>
              <w:jc w:val="right"/>
              <w:rPr>
                <w:rFonts w:cs="Calibri"/>
                <w:bCs/>
                <w:color w:val="000000"/>
                <w:szCs w:val="24"/>
              </w:rPr>
            </w:pPr>
            <w:r>
              <w:rPr>
                <w:rFonts w:cs="Calibri"/>
                <w:bCs/>
                <w:color w:val="000000"/>
                <w:szCs w:val="24"/>
              </w:rPr>
              <w:t>120</w:t>
            </w:r>
            <w:r w:rsidR="00DA249B">
              <w:rPr>
                <w:rFonts w:cs="Calibri"/>
                <w:bCs/>
                <w:color w:val="000000"/>
                <w:szCs w:val="24"/>
              </w:rPr>
              <w:t>,</w:t>
            </w:r>
            <w:r>
              <w:rPr>
                <w:rFonts w:cs="Calibri"/>
                <w:bCs/>
                <w:color w:val="000000"/>
                <w:szCs w:val="24"/>
              </w:rPr>
              <w:t>000</w:t>
            </w:r>
          </w:p>
        </w:tc>
        <w:tc>
          <w:tcPr>
            <w:tcW w:w="1136" w:type="dxa"/>
          </w:tcPr>
          <w:p w:rsidR="00DA583C" w:rsidRDefault="00DA583C" w:rsidP="00DA583C">
            <w:pPr>
              <w:spacing w:before="120" w:after="120"/>
              <w:jc w:val="right"/>
              <w:rPr>
                <w:rFonts w:cs="Calibri"/>
                <w:bCs/>
                <w:color w:val="000000"/>
                <w:szCs w:val="24"/>
              </w:rPr>
            </w:pPr>
            <w:r>
              <w:rPr>
                <w:rFonts w:cs="Calibri"/>
                <w:bCs/>
                <w:color w:val="000000"/>
                <w:szCs w:val="24"/>
              </w:rPr>
              <w:t>240</w:t>
            </w:r>
            <w:r w:rsidR="00DA249B">
              <w:rPr>
                <w:rFonts w:cs="Calibri"/>
                <w:bCs/>
                <w:color w:val="000000"/>
                <w:szCs w:val="24"/>
              </w:rPr>
              <w:t>,</w:t>
            </w:r>
            <w:r>
              <w:rPr>
                <w:rFonts w:cs="Calibri"/>
                <w:bCs/>
                <w:color w:val="000000"/>
                <w:szCs w:val="24"/>
              </w:rPr>
              <w:t>000</w:t>
            </w:r>
          </w:p>
        </w:tc>
      </w:tr>
    </w:tbl>
    <w:p w:rsidR="0075151E" w:rsidRDefault="0075151E" w:rsidP="0075151E">
      <w:pPr>
        <w:pStyle w:val="ListParagraph"/>
        <w:spacing w:before="120" w:after="120" w:line="240" w:lineRule="auto"/>
        <w:ind w:left="928"/>
        <w:rPr>
          <w:rFonts w:cs="Calibri"/>
          <w:szCs w:val="24"/>
        </w:rPr>
      </w:pPr>
    </w:p>
    <w:p w:rsidR="00E5494F" w:rsidRDefault="00CA4FC0" w:rsidP="008D69B7">
      <w:pPr>
        <w:pStyle w:val="ListParagraph"/>
        <w:numPr>
          <w:ilvl w:val="1"/>
          <w:numId w:val="50"/>
        </w:numPr>
        <w:spacing w:before="120" w:after="120" w:line="240" w:lineRule="auto"/>
        <w:ind w:left="709" w:hanging="709"/>
        <w:rPr>
          <w:rFonts w:cs="Calibri"/>
          <w:szCs w:val="24"/>
        </w:rPr>
      </w:pPr>
      <w:r>
        <w:rPr>
          <w:rFonts w:cs="Calibri"/>
          <w:szCs w:val="24"/>
        </w:rPr>
        <w:t>We do not want to be too prescriptive at this stage as our aim is to secure additio</w:t>
      </w:r>
      <w:r w:rsidR="00A84611">
        <w:rPr>
          <w:rFonts w:cs="Calibri"/>
          <w:szCs w:val="24"/>
        </w:rPr>
        <w:t xml:space="preserve">nal leverage from significant other funders, including local developers, the Clinical Commissioning Group </w:t>
      </w:r>
      <w:r w:rsidR="00E5494F">
        <w:rPr>
          <w:rFonts w:cs="Calibri"/>
          <w:szCs w:val="24"/>
        </w:rPr>
        <w:t xml:space="preserve">(CCG) </w:t>
      </w:r>
      <w:r w:rsidR="00A84611">
        <w:rPr>
          <w:rFonts w:cs="Calibri"/>
          <w:szCs w:val="24"/>
        </w:rPr>
        <w:t>and Battersea Power Station Foundation.</w:t>
      </w:r>
    </w:p>
    <w:p w:rsidR="00E5494F" w:rsidRDefault="00E5494F" w:rsidP="00E5494F">
      <w:pPr>
        <w:pStyle w:val="ListParagraph"/>
        <w:spacing w:before="120" w:after="120" w:line="240" w:lineRule="auto"/>
        <w:ind w:left="709"/>
        <w:rPr>
          <w:rFonts w:cs="Calibri"/>
          <w:szCs w:val="24"/>
        </w:rPr>
      </w:pPr>
    </w:p>
    <w:p w:rsidR="0075151E" w:rsidRDefault="00E5494F" w:rsidP="008D69B7">
      <w:pPr>
        <w:pStyle w:val="ListParagraph"/>
        <w:numPr>
          <w:ilvl w:val="1"/>
          <w:numId w:val="50"/>
        </w:numPr>
        <w:spacing w:before="120" w:after="120" w:line="240" w:lineRule="auto"/>
        <w:ind w:left="709" w:hanging="709"/>
        <w:rPr>
          <w:rFonts w:cs="Calibri"/>
          <w:szCs w:val="24"/>
        </w:rPr>
      </w:pPr>
      <w:r>
        <w:rPr>
          <w:rFonts w:cs="Calibri"/>
          <w:szCs w:val="24"/>
        </w:rPr>
        <w:lastRenderedPageBreak/>
        <w:t xml:space="preserve">We know that the CCG is committed to promoting health prevention measures; our strategy is a health and well-being programme based on evidence of need that will address issues that conventional statutory services struggle with. </w:t>
      </w:r>
    </w:p>
    <w:p w:rsidR="00F76006" w:rsidRDefault="00F76006" w:rsidP="00F76006">
      <w:pPr>
        <w:pStyle w:val="ListParagraph"/>
        <w:spacing w:before="120" w:after="120" w:line="240" w:lineRule="auto"/>
        <w:ind w:left="709"/>
        <w:rPr>
          <w:rFonts w:cs="Calibri"/>
          <w:szCs w:val="24"/>
        </w:rPr>
      </w:pPr>
    </w:p>
    <w:p w:rsidR="00F76006" w:rsidRDefault="00F76006" w:rsidP="008D69B7">
      <w:pPr>
        <w:pStyle w:val="ListParagraph"/>
        <w:numPr>
          <w:ilvl w:val="1"/>
          <w:numId w:val="50"/>
        </w:numPr>
        <w:spacing w:before="120" w:after="120" w:line="240" w:lineRule="auto"/>
        <w:ind w:left="709" w:hanging="709"/>
        <w:rPr>
          <w:rFonts w:cs="Calibri"/>
          <w:szCs w:val="24"/>
        </w:rPr>
      </w:pPr>
      <w:r>
        <w:rPr>
          <w:rFonts w:cs="Calibri"/>
          <w:szCs w:val="24"/>
        </w:rPr>
        <w:t>By securing leverage or match funding we will be able to develop a r</w:t>
      </w:r>
      <w:r w:rsidR="00CE2B20">
        <w:rPr>
          <w:rFonts w:cs="Calibri"/>
          <w:szCs w:val="24"/>
        </w:rPr>
        <w:t>ange of projects (see Appendix 2</w:t>
      </w:r>
      <w:r>
        <w:rPr>
          <w:rFonts w:cs="Calibri"/>
          <w:szCs w:val="24"/>
        </w:rPr>
        <w:t>) that will rebuild the social fabric of Battersea.</w:t>
      </w:r>
    </w:p>
    <w:p w:rsidR="00071FB4" w:rsidRDefault="00071FB4" w:rsidP="00071FB4">
      <w:pPr>
        <w:pStyle w:val="ListParagraph"/>
        <w:spacing w:before="120" w:after="120" w:line="240" w:lineRule="auto"/>
        <w:ind w:left="709"/>
        <w:rPr>
          <w:rFonts w:cs="Calibri"/>
          <w:szCs w:val="24"/>
        </w:rPr>
      </w:pPr>
    </w:p>
    <w:p w:rsidR="00071FB4" w:rsidRPr="00071FB4" w:rsidRDefault="00071FB4" w:rsidP="00071FB4">
      <w:pPr>
        <w:pStyle w:val="ListParagraph"/>
        <w:spacing w:before="120" w:after="120" w:line="240" w:lineRule="auto"/>
        <w:ind w:left="709"/>
        <w:rPr>
          <w:rFonts w:cs="Calibri"/>
          <w:b/>
          <w:color w:val="365F91" w:themeColor="accent1" w:themeShade="BF"/>
          <w:szCs w:val="24"/>
        </w:rPr>
      </w:pPr>
      <w:r w:rsidRPr="00071FB4">
        <w:rPr>
          <w:rFonts w:cs="Calibri"/>
          <w:b/>
          <w:color w:val="365F91" w:themeColor="accent1" w:themeShade="BF"/>
          <w:szCs w:val="24"/>
        </w:rPr>
        <w:t>Overlap or Convergence with JV Community Objectives</w:t>
      </w:r>
    </w:p>
    <w:p w:rsidR="00071FB4" w:rsidRDefault="00071FB4" w:rsidP="00071FB4">
      <w:pPr>
        <w:pStyle w:val="ListParagraph"/>
        <w:spacing w:before="120" w:after="120" w:line="240" w:lineRule="auto"/>
        <w:ind w:left="709"/>
        <w:rPr>
          <w:rFonts w:cs="Calibri"/>
          <w:szCs w:val="24"/>
        </w:rPr>
      </w:pPr>
    </w:p>
    <w:p w:rsidR="00071FB4" w:rsidRDefault="00071FB4" w:rsidP="008D69B7">
      <w:pPr>
        <w:pStyle w:val="ListParagraph"/>
        <w:numPr>
          <w:ilvl w:val="1"/>
          <w:numId w:val="50"/>
        </w:numPr>
        <w:spacing w:after="0" w:line="240" w:lineRule="auto"/>
        <w:ind w:left="709" w:hanging="709"/>
        <w:rPr>
          <w:rFonts w:cs="Calibri"/>
          <w:szCs w:val="24"/>
        </w:rPr>
      </w:pPr>
      <w:r>
        <w:rPr>
          <w:rFonts w:cs="Calibri"/>
          <w:szCs w:val="24"/>
        </w:rPr>
        <w:t>The</w:t>
      </w:r>
      <w:r w:rsidR="0097300A">
        <w:rPr>
          <w:rFonts w:cs="Calibri"/>
          <w:szCs w:val="24"/>
        </w:rPr>
        <w:t xml:space="preserve"> JV has and will continue to consult and engage with local residents on the </w:t>
      </w:r>
      <w:r w:rsidR="004A3490">
        <w:rPr>
          <w:rFonts w:cs="Calibri"/>
          <w:szCs w:val="24"/>
        </w:rPr>
        <w:t>Estates</w:t>
      </w:r>
      <w:r w:rsidR="0097300A">
        <w:rPr>
          <w:rFonts w:cs="Calibri"/>
          <w:szCs w:val="24"/>
        </w:rPr>
        <w:t>. As the Alliance deep</w:t>
      </w:r>
      <w:r w:rsidR="00B6688E">
        <w:rPr>
          <w:rFonts w:cs="Calibri"/>
          <w:szCs w:val="24"/>
        </w:rPr>
        <w:t>e</w:t>
      </w:r>
      <w:r w:rsidR="004916C1">
        <w:rPr>
          <w:rFonts w:cs="Calibri"/>
          <w:szCs w:val="24"/>
        </w:rPr>
        <w:t>n</w:t>
      </w:r>
      <w:r w:rsidR="0097300A">
        <w:rPr>
          <w:rFonts w:cs="Calibri"/>
          <w:szCs w:val="24"/>
        </w:rPr>
        <w:t xml:space="preserve">s and broadens </w:t>
      </w:r>
      <w:r w:rsidR="00B6688E">
        <w:rPr>
          <w:rFonts w:cs="Calibri"/>
          <w:szCs w:val="24"/>
        </w:rPr>
        <w:t>its</w:t>
      </w:r>
      <w:r w:rsidR="0097300A">
        <w:rPr>
          <w:rFonts w:cs="Calibri"/>
          <w:szCs w:val="24"/>
        </w:rPr>
        <w:t xml:space="preserve"> own engagement</w:t>
      </w:r>
      <w:r w:rsidR="00B6688E">
        <w:rPr>
          <w:rFonts w:cs="Calibri"/>
          <w:szCs w:val="24"/>
        </w:rPr>
        <w:t xml:space="preserve"> the linkages </w:t>
      </w:r>
      <w:r w:rsidR="005F70B9">
        <w:rPr>
          <w:rFonts w:cs="Calibri"/>
          <w:szCs w:val="24"/>
        </w:rPr>
        <w:t xml:space="preserve">and opportunities for partnership work </w:t>
      </w:r>
      <w:r w:rsidR="00B6688E">
        <w:rPr>
          <w:rFonts w:cs="Calibri"/>
          <w:szCs w:val="24"/>
        </w:rPr>
        <w:t>could be significant.</w:t>
      </w:r>
    </w:p>
    <w:p w:rsidR="00071FB4" w:rsidRPr="00071FB4" w:rsidRDefault="00071FB4" w:rsidP="007F1F7D">
      <w:pPr>
        <w:spacing w:after="0" w:line="240" w:lineRule="auto"/>
        <w:rPr>
          <w:rFonts w:cs="Calibri"/>
          <w:szCs w:val="24"/>
        </w:rPr>
      </w:pPr>
    </w:p>
    <w:p w:rsidR="00071FB4" w:rsidRDefault="004916C1" w:rsidP="008D69B7">
      <w:pPr>
        <w:pStyle w:val="ListParagraph"/>
        <w:numPr>
          <w:ilvl w:val="1"/>
          <w:numId w:val="50"/>
        </w:numPr>
        <w:spacing w:after="0" w:line="240" w:lineRule="auto"/>
        <w:ind w:left="709" w:hanging="709"/>
        <w:rPr>
          <w:rFonts w:cs="Calibri"/>
          <w:szCs w:val="24"/>
        </w:rPr>
      </w:pPr>
      <w:r>
        <w:rPr>
          <w:rFonts w:cs="Calibri"/>
          <w:szCs w:val="24"/>
        </w:rPr>
        <w:t>We both want to see that our residents are able to gain the maximum benefits from the regeneration programme, while off-setting or miti</w:t>
      </w:r>
      <w:r w:rsidR="007F1F7D">
        <w:rPr>
          <w:rFonts w:cs="Calibri"/>
          <w:szCs w:val="24"/>
        </w:rPr>
        <w:t>gating the more negative consequences (disruption, loss of familiar networks, etc</w:t>
      </w:r>
      <w:r>
        <w:rPr>
          <w:rFonts w:cs="Calibri"/>
          <w:szCs w:val="24"/>
        </w:rPr>
        <w:t>.</w:t>
      </w:r>
    </w:p>
    <w:p w:rsidR="004916C1" w:rsidRPr="004916C1" w:rsidRDefault="004916C1" w:rsidP="004916C1">
      <w:pPr>
        <w:pStyle w:val="ListParagraph"/>
        <w:rPr>
          <w:rFonts w:cs="Calibri"/>
          <w:szCs w:val="24"/>
        </w:rPr>
      </w:pPr>
    </w:p>
    <w:p w:rsidR="005F70B9" w:rsidRDefault="004916C1" w:rsidP="008D69B7">
      <w:pPr>
        <w:pStyle w:val="ListParagraph"/>
        <w:numPr>
          <w:ilvl w:val="1"/>
          <w:numId w:val="50"/>
        </w:numPr>
        <w:spacing w:before="120" w:after="120" w:line="240" w:lineRule="auto"/>
        <w:ind w:left="709" w:hanging="709"/>
        <w:rPr>
          <w:rFonts w:cs="Calibri"/>
          <w:szCs w:val="24"/>
        </w:rPr>
      </w:pPr>
      <w:r>
        <w:rPr>
          <w:rFonts w:cs="Calibri"/>
          <w:szCs w:val="24"/>
        </w:rPr>
        <w:t>The</w:t>
      </w:r>
      <w:r w:rsidR="00A84611">
        <w:rPr>
          <w:rFonts w:cs="Calibri"/>
          <w:szCs w:val="24"/>
        </w:rPr>
        <w:t xml:space="preserve"> JV will want to </w:t>
      </w:r>
      <w:r w:rsidR="005F70B9">
        <w:rPr>
          <w:rFonts w:cs="Calibri"/>
          <w:szCs w:val="24"/>
        </w:rPr>
        <w:t>ensure that:</w:t>
      </w:r>
    </w:p>
    <w:p w:rsidR="005F70B9" w:rsidRPr="005F70B9" w:rsidRDefault="005F70B9" w:rsidP="005F70B9">
      <w:pPr>
        <w:pStyle w:val="ListParagraph"/>
        <w:rPr>
          <w:rFonts w:cs="Calibri"/>
          <w:szCs w:val="24"/>
        </w:rPr>
      </w:pPr>
    </w:p>
    <w:p w:rsidR="004916C1" w:rsidRDefault="005F70B9" w:rsidP="002C24DC">
      <w:pPr>
        <w:pStyle w:val="ListParagraph"/>
        <w:numPr>
          <w:ilvl w:val="0"/>
          <w:numId w:val="45"/>
        </w:numPr>
        <w:spacing w:before="120" w:after="120" w:line="240" w:lineRule="auto"/>
        <w:rPr>
          <w:rFonts w:cs="Calibri"/>
          <w:szCs w:val="24"/>
        </w:rPr>
      </w:pPr>
      <w:r>
        <w:rPr>
          <w:rFonts w:cs="Calibri"/>
          <w:szCs w:val="24"/>
        </w:rPr>
        <w:t>the most vulnerable residents in the area of impact feel listened to, with appropriate action taken</w:t>
      </w:r>
    </w:p>
    <w:p w:rsidR="009C05A4" w:rsidRDefault="009C05A4" w:rsidP="009C05A4">
      <w:pPr>
        <w:pStyle w:val="ListParagraph"/>
        <w:spacing w:before="120" w:after="120" w:line="240" w:lineRule="auto"/>
        <w:ind w:left="1500"/>
        <w:rPr>
          <w:rFonts w:cs="Calibri"/>
          <w:szCs w:val="24"/>
        </w:rPr>
      </w:pPr>
    </w:p>
    <w:p w:rsidR="005F70B9" w:rsidRDefault="000E2370" w:rsidP="002C24DC">
      <w:pPr>
        <w:pStyle w:val="ListParagraph"/>
        <w:numPr>
          <w:ilvl w:val="0"/>
          <w:numId w:val="45"/>
        </w:numPr>
        <w:spacing w:before="120" w:after="120" w:line="360" w:lineRule="auto"/>
        <w:rPr>
          <w:rFonts w:cs="Calibri"/>
          <w:szCs w:val="24"/>
        </w:rPr>
      </w:pPr>
      <w:r>
        <w:rPr>
          <w:rFonts w:cs="Calibri"/>
          <w:szCs w:val="24"/>
        </w:rPr>
        <w:t>Anti-social behaviour is minimised</w:t>
      </w:r>
    </w:p>
    <w:p w:rsidR="000E2370" w:rsidRDefault="000E2370" w:rsidP="002C24DC">
      <w:pPr>
        <w:pStyle w:val="ListParagraph"/>
        <w:numPr>
          <w:ilvl w:val="0"/>
          <w:numId w:val="45"/>
        </w:numPr>
        <w:spacing w:before="120" w:after="120" w:line="360" w:lineRule="auto"/>
        <w:rPr>
          <w:rFonts w:cs="Calibri"/>
          <w:szCs w:val="24"/>
        </w:rPr>
      </w:pPr>
      <w:r>
        <w:rPr>
          <w:rFonts w:cs="Calibri"/>
          <w:szCs w:val="24"/>
        </w:rPr>
        <w:t>People develop a sense of belonging</w:t>
      </w:r>
    </w:p>
    <w:p w:rsidR="000E2370" w:rsidRDefault="000E2370" w:rsidP="002C24DC">
      <w:pPr>
        <w:pStyle w:val="ListParagraph"/>
        <w:numPr>
          <w:ilvl w:val="0"/>
          <w:numId w:val="45"/>
        </w:numPr>
        <w:spacing w:before="120" w:after="120" w:line="360" w:lineRule="auto"/>
        <w:rPr>
          <w:rFonts w:cs="Calibri"/>
          <w:szCs w:val="24"/>
        </w:rPr>
      </w:pPr>
      <w:r>
        <w:rPr>
          <w:rFonts w:cs="Calibri"/>
          <w:szCs w:val="24"/>
        </w:rPr>
        <w:t>Existing tenants are supported to become active in the community</w:t>
      </w:r>
    </w:p>
    <w:p w:rsidR="000E2370" w:rsidRDefault="000E2370" w:rsidP="002C24DC">
      <w:pPr>
        <w:pStyle w:val="ListParagraph"/>
        <w:numPr>
          <w:ilvl w:val="0"/>
          <w:numId w:val="45"/>
        </w:numPr>
        <w:spacing w:before="120" w:after="120" w:line="360" w:lineRule="auto"/>
        <w:rPr>
          <w:rFonts w:cs="Calibri"/>
          <w:szCs w:val="24"/>
        </w:rPr>
      </w:pPr>
      <w:r>
        <w:rPr>
          <w:rFonts w:cs="Calibri"/>
          <w:szCs w:val="24"/>
        </w:rPr>
        <w:t>Resident Associations are effective voices for local people</w:t>
      </w:r>
    </w:p>
    <w:p w:rsidR="00F76006" w:rsidRDefault="00F76006" w:rsidP="002C24DC">
      <w:pPr>
        <w:pStyle w:val="ListParagraph"/>
        <w:numPr>
          <w:ilvl w:val="0"/>
          <w:numId w:val="45"/>
        </w:numPr>
        <w:spacing w:before="120" w:after="120" w:line="360" w:lineRule="auto"/>
        <w:rPr>
          <w:rFonts w:cs="Calibri"/>
          <w:szCs w:val="24"/>
        </w:rPr>
      </w:pPr>
      <w:r>
        <w:rPr>
          <w:rFonts w:cs="Calibri"/>
          <w:szCs w:val="24"/>
        </w:rPr>
        <w:t>Local people are supported to develop their own project ideas</w:t>
      </w:r>
    </w:p>
    <w:p w:rsidR="00F76006" w:rsidRDefault="00F76006" w:rsidP="002C24DC">
      <w:pPr>
        <w:pStyle w:val="ListParagraph"/>
        <w:numPr>
          <w:ilvl w:val="0"/>
          <w:numId w:val="45"/>
        </w:numPr>
        <w:spacing w:before="120" w:after="120" w:line="360" w:lineRule="auto"/>
        <w:rPr>
          <w:rFonts w:cs="Calibri"/>
          <w:szCs w:val="24"/>
        </w:rPr>
      </w:pPr>
      <w:r>
        <w:rPr>
          <w:rFonts w:cs="Calibri"/>
          <w:szCs w:val="24"/>
        </w:rPr>
        <w:t>New comers are made to feel welcome</w:t>
      </w:r>
    </w:p>
    <w:p w:rsidR="002C24DC" w:rsidRDefault="002C24DC" w:rsidP="002C24DC">
      <w:pPr>
        <w:pStyle w:val="ListParagraph"/>
        <w:numPr>
          <w:ilvl w:val="0"/>
          <w:numId w:val="45"/>
        </w:numPr>
        <w:spacing w:before="120" w:after="120" w:line="240" w:lineRule="auto"/>
        <w:ind w:left="1497" w:hanging="357"/>
        <w:rPr>
          <w:rFonts w:cs="Calibri"/>
          <w:szCs w:val="24"/>
        </w:rPr>
      </w:pPr>
      <w:r>
        <w:rPr>
          <w:rFonts w:cs="Calibri"/>
          <w:szCs w:val="24"/>
        </w:rPr>
        <w:t>That residents are able to access more services provided by the Community</w:t>
      </w:r>
    </w:p>
    <w:p w:rsidR="004916C1" w:rsidRPr="004916C1" w:rsidRDefault="004916C1" w:rsidP="002C24DC">
      <w:pPr>
        <w:pStyle w:val="ListParagraph"/>
        <w:spacing w:after="0"/>
        <w:rPr>
          <w:rFonts w:cs="Calibri"/>
          <w:szCs w:val="24"/>
        </w:rPr>
      </w:pPr>
    </w:p>
    <w:p w:rsidR="004916C1" w:rsidRDefault="00F76006" w:rsidP="008D69B7">
      <w:pPr>
        <w:pStyle w:val="ListParagraph"/>
        <w:numPr>
          <w:ilvl w:val="1"/>
          <w:numId w:val="50"/>
        </w:numPr>
        <w:spacing w:before="120" w:after="120" w:line="240" w:lineRule="auto"/>
        <w:ind w:left="709" w:hanging="709"/>
        <w:rPr>
          <w:rFonts w:cs="Calibri"/>
          <w:szCs w:val="24"/>
        </w:rPr>
      </w:pPr>
      <w:r>
        <w:rPr>
          <w:rFonts w:cs="Calibri"/>
          <w:szCs w:val="24"/>
        </w:rPr>
        <w:t>Though essentially ‘housing’ issues, each theme will lend support to the development of a stronger more self-reliant community.</w:t>
      </w:r>
    </w:p>
    <w:p w:rsidR="004916C1" w:rsidRPr="004916C1" w:rsidRDefault="004916C1" w:rsidP="004916C1">
      <w:pPr>
        <w:pStyle w:val="ListParagraph"/>
        <w:rPr>
          <w:rFonts w:cs="Calibri"/>
          <w:szCs w:val="24"/>
        </w:rPr>
      </w:pPr>
    </w:p>
    <w:p w:rsidR="004916C1" w:rsidRDefault="00E5494F" w:rsidP="008D69B7">
      <w:pPr>
        <w:pStyle w:val="ListParagraph"/>
        <w:numPr>
          <w:ilvl w:val="1"/>
          <w:numId w:val="50"/>
        </w:numPr>
        <w:spacing w:before="120" w:after="120" w:line="240" w:lineRule="auto"/>
        <w:ind w:left="709" w:hanging="709"/>
        <w:rPr>
          <w:rFonts w:cs="Calibri"/>
          <w:szCs w:val="24"/>
        </w:rPr>
      </w:pPr>
      <w:r>
        <w:rPr>
          <w:rFonts w:cs="Calibri"/>
          <w:szCs w:val="24"/>
        </w:rPr>
        <w:t>Investment in Youth development, Volunteering, and strengthening the community voluntary sector, will enable us to work with the JV on community engagement and participation programmes, including:</w:t>
      </w:r>
    </w:p>
    <w:p w:rsidR="00E5494F" w:rsidRPr="00E5494F" w:rsidRDefault="00E5494F" w:rsidP="00E5494F">
      <w:pPr>
        <w:pStyle w:val="ListParagraph"/>
        <w:rPr>
          <w:rFonts w:cs="Calibri"/>
          <w:szCs w:val="24"/>
        </w:rPr>
      </w:pPr>
    </w:p>
    <w:p w:rsidR="00E5494F" w:rsidRDefault="00E5494F" w:rsidP="00E5494F">
      <w:pPr>
        <w:pStyle w:val="ListParagraph"/>
        <w:numPr>
          <w:ilvl w:val="0"/>
          <w:numId w:val="47"/>
        </w:numPr>
        <w:spacing w:before="120" w:after="120" w:line="240" w:lineRule="auto"/>
        <w:rPr>
          <w:rFonts w:cs="Calibri"/>
          <w:szCs w:val="24"/>
        </w:rPr>
      </w:pPr>
      <w:r>
        <w:rPr>
          <w:rFonts w:cs="Calibri"/>
          <w:szCs w:val="24"/>
        </w:rPr>
        <w:t>Consultation events</w:t>
      </w:r>
    </w:p>
    <w:p w:rsidR="00E5494F" w:rsidRDefault="00CE2B20" w:rsidP="00E5494F">
      <w:pPr>
        <w:pStyle w:val="ListParagraph"/>
        <w:numPr>
          <w:ilvl w:val="0"/>
          <w:numId w:val="47"/>
        </w:numPr>
        <w:spacing w:before="120" w:after="120" w:line="240" w:lineRule="auto"/>
        <w:rPr>
          <w:rFonts w:cs="Calibri"/>
          <w:szCs w:val="24"/>
        </w:rPr>
      </w:pPr>
      <w:r>
        <w:rPr>
          <w:rFonts w:cs="Calibri"/>
          <w:szCs w:val="24"/>
        </w:rPr>
        <w:t>Future Planning/Visioning type activities</w:t>
      </w:r>
    </w:p>
    <w:p w:rsidR="00CE2B20" w:rsidRDefault="00CE2B20" w:rsidP="00E5494F">
      <w:pPr>
        <w:pStyle w:val="ListParagraph"/>
        <w:numPr>
          <w:ilvl w:val="0"/>
          <w:numId w:val="47"/>
        </w:numPr>
        <w:spacing w:before="120" w:after="120" w:line="240" w:lineRule="auto"/>
        <w:rPr>
          <w:rFonts w:cs="Calibri"/>
          <w:szCs w:val="24"/>
        </w:rPr>
      </w:pPr>
      <w:r>
        <w:rPr>
          <w:rFonts w:cs="Calibri"/>
          <w:szCs w:val="24"/>
        </w:rPr>
        <w:t>Promotion of ‘good news’ stories</w:t>
      </w:r>
    </w:p>
    <w:p w:rsidR="00CE2B20" w:rsidRDefault="00CE2B20" w:rsidP="00E5494F">
      <w:pPr>
        <w:pStyle w:val="ListParagraph"/>
        <w:numPr>
          <w:ilvl w:val="0"/>
          <w:numId w:val="47"/>
        </w:numPr>
        <w:spacing w:before="120" w:after="120" w:line="240" w:lineRule="auto"/>
        <w:rPr>
          <w:rFonts w:cs="Calibri"/>
          <w:szCs w:val="24"/>
        </w:rPr>
      </w:pPr>
      <w:r>
        <w:rPr>
          <w:rFonts w:cs="Calibri"/>
          <w:szCs w:val="24"/>
        </w:rPr>
        <w:t>Sign-posting (Work Match, Adult Social Care, Family Support,</w:t>
      </w:r>
      <w:r w:rsidR="004A3490">
        <w:rPr>
          <w:rFonts w:cs="Calibri"/>
          <w:szCs w:val="24"/>
        </w:rPr>
        <w:t xml:space="preserve"> </w:t>
      </w:r>
      <w:r>
        <w:rPr>
          <w:rFonts w:cs="Calibri"/>
          <w:szCs w:val="24"/>
        </w:rPr>
        <w:t>etc)</w:t>
      </w:r>
    </w:p>
    <w:p w:rsidR="00E5494F" w:rsidRPr="00E5494F" w:rsidRDefault="00E5494F" w:rsidP="00E5494F">
      <w:pPr>
        <w:pStyle w:val="ListParagraph"/>
        <w:rPr>
          <w:rFonts w:cs="Calibri"/>
          <w:szCs w:val="24"/>
        </w:rPr>
      </w:pPr>
    </w:p>
    <w:p w:rsidR="00E5494F" w:rsidRDefault="00E5494F" w:rsidP="008D69B7">
      <w:pPr>
        <w:pStyle w:val="ListParagraph"/>
        <w:numPr>
          <w:ilvl w:val="1"/>
          <w:numId w:val="50"/>
        </w:numPr>
        <w:spacing w:before="120" w:after="120" w:line="240" w:lineRule="auto"/>
        <w:ind w:left="709" w:hanging="709"/>
        <w:rPr>
          <w:rFonts w:cs="Calibri"/>
          <w:szCs w:val="24"/>
        </w:rPr>
      </w:pPr>
      <w:r>
        <w:rPr>
          <w:rFonts w:cs="Calibri"/>
          <w:szCs w:val="24"/>
        </w:rPr>
        <w:t>A joint approach will increase ‘reach’, create links with programmes and projects that support individuals and the community (Advice, guidance, health) and provide the foundation</w:t>
      </w:r>
      <w:r w:rsidR="008F72C9">
        <w:rPr>
          <w:rFonts w:cs="Calibri"/>
          <w:szCs w:val="24"/>
        </w:rPr>
        <w:t>s</w:t>
      </w:r>
      <w:r>
        <w:rPr>
          <w:rFonts w:cs="Calibri"/>
          <w:szCs w:val="24"/>
        </w:rPr>
        <w:t xml:space="preserve"> for longer term self-reliance.</w:t>
      </w:r>
    </w:p>
    <w:p w:rsidR="005C4FD7" w:rsidRPr="00BF40FF" w:rsidRDefault="009F72DD" w:rsidP="008D69B7">
      <w:pPr>
        <w:pStyle w:val="Heading2"/>
        <w:numPr>
          <w:ilvl w:val="0"/>
          <w:numId w:val="50"/>
        </w:numPr>
        <w:ind w:left="709" w:hanging="567"/>
        <w:rPr>
          <w:sz w:val="32"/>
          <w:szCs w:val="32"/>
        </w:rPr>
      </w:pPr>
      <w:bookmarkStart w:id="2" w:name="_Toc17971670"/>
      <w:r w:rsidRPr="00BF40FF">
        <w:rPr>
          <w:sz w:val="32"/>
          <w:szCs w:val="32"/>
        </w:rPr>
        <w:t>Actions</w:t>
      </w:r>
      <w:r w:rsidR="002365E3">
        <w:rPr>
          <w:sz w:val="32"/>
          <w:szCs w:val="32"/>
        </w:rPr>
        <w:t xml:space="preserve"> – Community Investment</w:t>
      </w:r>
      <w:bookmarkEnd w:id="2"/>
      <w:r w:rsidR="002365E3">
        <w:rPr>
          <w:sz w:val="32"/>
          <w:szCs w:val="32"/>
        </w:rPr>
        <w:t xml:space="preserve"> </w:t>
      </w:r>
    </w:p>
    <w:p w:rsidR="007C06CA" w:rsidRDefault="007C06CA" w:rsidP="007C06CA">
      <w:pPr>
        <w:pStyle w:val="ListParagraph"/>
        <w:spacing w:before="120" w:after="120" w:line="240" w:lineRule="auto"/>
        <w:ind w:left="360"/>
        <w:rPr>
          <w:rFonts w:cs="Calibri"/>
          <w:b/>
          <w:color w:val="365F91" w:themeColor="accent1" w:themeShade="BF"/>
          <w:szCs w:val="24"/>
        </w:rPr>
      </w:pPr>
    </w:p>
    <w:p w:rsidR="006521D9" w:rsidRPr="00D27807" w:rsidRDefault="007C06CA" w:rsidP="00D27807">
      <w:pPr>
        <w:pStyle w:val="ListParagraph"/>
        <w:numPr>
          <w:ilvl w:val="0"/>
          <w:numId w:val="43"/>
        </w:numPr>
        <w:spacing w:before="120" w:after="120" w:line="240" w:lineRule="auto"/>
        <w:ind w:left="1560" w:hanging="851"/>
        <w:rPr>
          <w:rFonts w:cs="Calibri"/>
          <w:b/>
          <w:color w:val="365F91" w:themeColor="accent1" w:themeShade="BF"/>
          <w:szCs w:val="24"/>
        </w:rPr>
      </w:pPr>
      <w:r>
        <w:rPr>
          <w:rFonts w:cs="Calibri"/>
          <w:b/>
          <w:color w:val="365F91" w:themeColor="accent1" w:themeShade="BF"/>
          <w:szCs w:val="24"/>
        </w:rPr>
        <w:t xml:space="preserve">to </w:t>
      </w:r>
      <w:r w:rsidRPr="007C06CA">
        <w:rPr>
          <w:rFonts w:cs="Calibri"/>
          <w:b/>
          <w:color w:val="1F497D" w:themeColor="text2"/>
          <w:szCs w:val="24"/>
        </w:rPr>
        <w:t>2021</w:t>
      </w:r>
    </w:p>
    <w:p w:rsidR="00D27807" w:rsidRPr="009F72DD" w:rsidRDefault="00D27807" w:rsidP="004213D5">
      <w:pPr>
        <w:pStyle w:val="ListParagraph"/>
        <w:spacing w:before="120" w:after="120" w:line="240" w:lineRule="auto"/>
        <w:ind w:left="1560"/>
        <w:rPr>
          <w:rFonts w:cs="Calibri"/>
          <w:b/>
          <w:color w:val="365F91" w:themeColor="accent1" w:themeShade="BF"/>
          <w:szCs w:val="24"/>
        </w:rPr>
      </w:pPr>
    </w:p>
    <w:p w:rsidR="005C4FD7" w:rsidRDefault="005D6522" w:rsidP="008D69B7">
      <w:pPr>
        <w:pStyle w:val="ListParagraph"/>
        <w:numPr>
          <w:ilvl w:val="1"/>
          <w:numId w:val="50"/>
        </w:numPr>
        <w:spacing w:before="120" w:after="120" w:line="240" w:lineRule="auto"/>
        <w:ind w:left="709"/>
        <w:rPr>
          <w:rFonts w:cs="Calibri"/>
          <w:szCs w:val="24"/>
        </w:rPr>
      </w:pPr>
      <w:r>
        <w:rPr>
          <w:rFonts w:cs="Calibri"/>
          <w:szCs w:val="24"/>
        </w:rPr>
        <w:t>T</w:t>
      </w:r>
      <w:r w:rsidR="002477D1">
        <w:rPr>
          <w:rFonts w:cs="Calibri"/>
          <w:szCs w:val="24"/>
        </w:rPr>
        <w:t xml:space="preserve">he actions proposed </w:t>
      </w:r>
      <w:r w:rsidR="00DA249B">
        <w:rPr>
          <w:rFonts w:cs="Calibri"/>
          <w:szCs w:val="24"/>
        </w:rPr>
        <w:t xml:space="preserve">for BLSW11 Alliance </w:t>
      </w:r>
      <w:r w:rsidR="002477D1">
        <w:rPr>
          <w:rFonts w:cs="Calibri"/>
          <w:szCs w:val="24"/>
        </w:rPr>
        <w:t>consist of specific</w:t>
      </w:r>
      <w:r w:rsidR="00D27807">
        <w:rPr>
          <w:rFonts w:cs="Calibri"/>
          <w:szCs w:val="24"/>
        </w:rPr>
        <w:t xml:space="preserve"> </w:t>
      </w:r>
      <w:r w:rsidR="002477D1">
        <w:rPr>
          <w:rFonts w:cs="Calibri"/>
          <w:szCs w:val="24"/>
        </w:rPr>
        <w:t xml:space="preserve">functions’ (targeted and focused interventions) and ‘projects’ that </w:t>
      </w:r>
      <w:r w:rsidR="00064D7A">
        <w:rPr>
          <w:rFonts w:cs="Calibri"/>
          <w:szCs w:val="24"/>
        </w:rPr>
        <w:t>will not only ‘prevent’ problems from developing but will also off-set or mitigate the more negative effects associated with redevelopment an</w:t>
      </w:r>
      <w:r w:rsidR="00DA249B">
        <w:rPr>
          <w:rFonts w:cs="Calibri"/>
          <w:szCs w:val="24"/>
        </w:rPr>
        <w:t>d</w:t>
      </w:r>
      <w:r w:rsidR="00064D7A">
        <w:rPr>
          <w:rFonts w:cs="Calibri"/>
          <w:szCs w:val="24"/>
        </w:rPr>
        <w:t xml:space="preserve"> regeneration.</w:t>
      </w:r>
    </w:p>
    <w:p w:rsidR="00071FB4" w:rsidRDefault="00071FB4" w:rsidP="00071FB4">
      <w:pPr>
        <w:pStyle w:val="ListParagraph"/>
        <w:spacing w:before="120" w:after="120" w:line="240" w:lineRule="auto"/>
        <w:ind w:left="709"/>
        <w:rPr>
          <w:rFonts w:cs="Calibri"/>
          <w:szCs w:val="24"/>
        </w:rPr>
      </w:pPr>
    </w:p>
    <w:p w:rsidR="00BF40FF" w:rsidRDefault="00BF40FF" w:rsidP="008D69B7">
      <w:pPr>
        <w:pStyle w:val="ListParagraph"/>
        <w:numPr>
          <w:ilvl w:val="1"/>
          <w:numId w:val="50"/>
        </w:numPr>
        <w:spacing w:before="120" w:after="120" w:line="240" w:lineRule="auto"/>
        <w:ind w:left="709"/>
        <w:rPr>
          <w:rFonts w:cs="Calibri"/>
          <w:szCs w:val="24"/>
        </w:rPr>
      </w:pPr>
      <w:r>
        <w:rPr>
          <w:rFonts w:cs="Calibri"/>
          <w:szCs w:val="24"/>
        </w:rPr>
        <w:t>In addition to maintaining and expanding our commitment to the Falcon Road Festival, BLSW11 Alliance, our Grants programme and Intergenerational work, we want to start work on building new infrastructure in SW11 with a particular focus on Young People and Volunteers.</w:t>
      </w:r>
    </w:p>
    <w:p w:rsidR="00D27807" w:rsidRPr="00DA136E" w:rsidRDefault="00D27807" w:rsidP="00DA136E">
      <w:pPr>
        <w:ind w:firstLine="709"/>
        <w:rPr>
          <w:b/>
          <w:color w:val="365F91" w:themeColor="accent1" w:themeShade="BF"/>
        </w:rPr>
      </w:pPr>
      <w:r w:rsidRPr="00DA136E">
        <w:rPr>
          <w:b/>
          <w:color w:val="365F91" w:themeColor="accent1" w:themeShade="BF"/>
        </w:rPr>
        <w:t>Battersea Youth Voice (BYV)</w:t>
      </w:r>
    </w:p>
    <w:p w:rsidR="00D27807" w:rsidRDefault="000E2370" w:rsidP="008D69B7">
      <w:pPr>
        <w:pStyle w:val="ListParagraph"/>
        <w:numPr>
          <w:ilvl w:val="1"/>
          <w:numId w:val="50"/>
        </w:numPr>
        <w:spacing w:before="120" w:after="120" w:line="240" w:lineRule="auto"/>
        <w:ind w:left="709"/>
        <w:rPr>
          <w:rFonts w:cs="Calibri"/>
          <w:szCs w:val="24"/>
        </w:rPr>
      </w:pPr>
      <w:r>
        <w:rPr>
          <w:rFonts w:cs="Calibri"/>
          <w:szCs w:val="24"/>
        </w:rPr>
        <w:t xml:space="preserve">Battersea Youth Voice (BYV) will build on the extensive networks and relationships of three youth centres (Carney’s Community, Caius House and Providence House) to </w:t>
      </w:r>
    </w:p>
    <w:p w:rsidR="000E2370" w:rsidRDefault="000E2370" w:rsidP="000E2370">
      <w:pPr>
        <w:pStyle w:val="ListParagraph"/>
        <w:spacing w:before="120" w:after="120" w:line="240" w:lineRule="auto"/>
        <w:ind w:left="709"/>
        <w:rPr>
          <w:rFonts w:cs="Calibri"/>
          <w:szCs w:val="24"/>
        </w:rPr>
      </w:pPr>
    </w:p>
    <w:p w:rsidR="004213D5" w:rsidRDefault="00D27807" w:rsidP="008D69B7">
      <w:pPr>
        <w:pStyle w:val="ListParagraph"/>
        <w:numPr>
          <w:ilvl w:val="1"/>
          <w:numId w:val="50"/>
        </w:numPr>
        <w:spacing w:before="120" w:after="120" w:line="240" w:lineRule="auto"/>
        <w:ind w:left="709" w:hanging="709"/>
        <w:rPr>
          <w:rFonts w:cs="Calibri"/>
          <w:szCs w:val="24"/>
        </w:rPr>
      </w:pPr>
      <w:r w:rsidRPr="00D27807">
        <w:rPr>
          <w:rFonts w:cs="Calibri"/>
          <w:szCs w:val="24"/>
        </w:rPr>
        <w:t>BYV</w:t>
      </w:r>
      <w:r>
        <w:rPr>
          <w:rFonts w:cs="Calibri"/>
          <w:szCs w:val="24"/>
        </w:rPr>
        <w:t xml:space="preserve"> </w:t>
      </w:r>
      <w:r w:rsidRPr="00D27807">
        <w:rPr>
          <w:rFonts w:cs="Calibri"/>
          <w:szCs w:val="24"/>
        </w:rPr>
        <w:t>will be an education, training, mentoring and personal development programme for some of the most disadvantaged young people in Battersea, with the core group coming from the BLSW11 area.</w:t>
      </w:r>
    </w:p>
    <w:p w:rsidR="00D27807" w:rsidRPr="00D27807" w:rsidRDefault="00D27807" w:rsidP="004213D5">
      <w:pPr>
        <w:pStyle w:val="ListParagraph"/>
        <w:spacing w:before="120" w:after="120" w:line="240" w:lineRule="auto"/>
        <w:ind w:left="709"/>
        <w:rPr>
          <w:rFonts w:cs="Calibri"/>
          <w:szCs w:val="24"/>
        </w:rPr>
      </w:pPr>
      <w:r w:rsidRPr="00D27807">
        <w:rPr>
          <w:rFonts w:cs="Calibri"/>
          <w:szCs w:val="24"/>
        </w:rPr>
        <w:t xml:space="preserve"> </w:t>
      </w:r>
    </w:p>
    <w:p w:rsidR="0075151E" w:rsidRDefault="00D27807" w:rsidP="008D69B7">
      <w:pPr>
        <w:pStyle w:val="ListParagraph"/>
        <w:numPr>
          <w:ilvl w:val="1"/>
          <w:numId w:val="50"/>
        </w:numPr>
        <w:spacing w:before="120" w:after="120" w:line="240" w:lineRule="auto"/>
        <w:ind w:left="709" w:hanging="709"/>
        <w:rPr>
          <w:rFonts w:cs="Calibri"/>
          <w:szCs w:val="24"/>
        </w:rPr>
      </w:pPr>
      <w:r>
        <w:rPr>
          <w:rFonts w:cs="Calibri"/>
          <w:szCs w:val="24"/>
        </w:rPr>
        <w:t>B</w:t>
      </w:r>
      <w:r w:rsidR="0075151E" w:rsidRPr="00D27807">
        <w:rPr>
          <w:rFonts w:cs="Calibri"/>
          <w:szCs w:val="24"/>
        </w:rPr>
        <w:t>YV will be driven by young people but supported by a professional youth development worker and local mentors.</w:t>
      </w:r>
      <w:r w:rsidR="004A5AC5" w:rsidRPr="00D27807">
        <w:rPr>
          <w:rFonts w:cs="Calibri"/>
          <w:szCs w:val="24"/>
        </w:rPr>
        <w:t xml:space="preserve"> (See full description of BYV and the job specification at Appendix 1)</w:t>
      </w:r>
    </w:p>
    <w:p w:rsidR="004213D5" w:rsidRPr="004213D5" w:rsidRDefault="004213D5" w:rsidP="004213D5">
      <w:pPr>
        <w:pStyle w:val="ListParagraph"/>
        <w:rPr>
          <w:rFonts w:cs="Calibri"/>
          <w:szCs w:val="24"/>
        </w:rPr>
      </w:pPr>
    </w:p>
    <w:p w:rsidR="004213D5" w:rsidRDefault="00D27807" w:rsidP="008D69B7">
      <w:pPr>
        <w:pStyle w:val="ListParagraph"/>
        <w:numPr>
          <w:ilvl w:val="1"/>
          <w:numId w:val="50"/>
        </w:numPr>
        <w:spacing w:before="120" w:after="120" w:line="240" w:lineRule="auto"/>
        <w:ind w:left="709" w:hanging="709"/>
        <w:rPr>
          <w:rFonts w:cs="Calibri"/>
          <w:szCs w:val="24"/>
        </w:rPr>
      </w:pPr>
      <w:r w:rsidRPr="004213D5">
        <w:rPr>
          <w:rFonts w:cs="Calibri"/>
          <w:szCs w:val="24"/>
        </w:rPr>
        <w:t>The</w:t>
      </w:r>
      <w:r w:rsidR="004213D5" w:rsidRPr="004213D5">
        <w:rPr>
          <w:rFonts w:cs="Calibri"/>
          <w:szCs w:val="24"/>
        </w:rPr>
        <w:t xml:space="preserve"> BYV will NOT be a talking shop, youth parliament or debating society! Our ambition is for young people who may otherwise feel disconnected from their community and society, to engage with and find solutions to issues (like depression and anxiety) by developing projects that connect with the wider community and develop skills useful for future employment and life.</w:t>
      </w:r>
    </w:p>
    <w:p w:rsidR="000E2370" w:rsidRPr="000E2370" w:rsidRDefault="000E2370" w:rsidP="000E2370">
      <w:pPr>
        <w:pStyle w:val="ListParagraph"/>
        <w:rPr>
          <w:rFonts w:cs="Calibri"/>
          <w:szCs w:val="24"/>
        </w:rPr>
      </w:pPr>
    </w:p>
    <w:p w:rsidR="000E2370" w:rsidRPr="004213D5" w:rsidRDefault="000E2370" w:rsidP="000E2370">
      <w:pPr>
        <w:pStyle w:val="ListParagraph"/>
        <w:spacing w:before="120" w:after="120" w:line="240" w:lineRule="auto"/>
        <w:ind w:left="709"/>
        <w:rPr>
          <w:rFonts w:cs="Calibri"/>
          <w:szCs w:val="24"/>
        </w:rPr>
      </w:pPr>
    </w:p>
    <w:p w:rsidR="004213D5" w:rsidRPr="004213D5" w:rsidRDefault="004213D5" w:rsidP="008D69B7">
      <w:pPr>
        <w:pStyle w:val="ListParagraph"/>
        <w:numPr>
          <w:ilvl w:val="1"/>
          <w:numId w:val="50"/>
        </w:numPr>
        <w:spacing w:before="120" w:after="120" w:line="240" w:lineRule="auto"/>
        <w:ind w:left="709" w:hanging="709"/>
        <w:rPr>
          <w:rFonts w:cs="Calibri"/>
          <w:szCs w:val="24"/>
        </w:rPr>
      </w:pPr>
      <w:r w:rsidRPr="004213D5">
        <w:rPr>
          <w:rFonts w:cs="Calibri"/>
          <w:szCs w:val="24"/>
        </w:rPr>
        <w:t>We will work with a core group of young people over three years to support their development as the next generation of civic leaders, entrepreneurs and homeowners.</w:t>
      </w:r>
    </w:p>
    <w:p w:rsidR="00D27807" w:rsidRDefault="00D27807" w:rsidP="000E2370">
      <w:pPr>
        <w:pStyle w:val="ListParagraph"/>
        <w:spacing w:before="120" w:after="120" w:line="240" w:lineRule="auto"/>
        <w:ind w:left="709"/>
        <w:rPr>
          <w:rFonts w:cs="Calibri"/>
          <w:szCs w:val="24"/>
        </w:rPr>
      </w:pPr>
    </w:p>
    <w:p w:rsidR="000E2370" w:rsidRDefault="000E2370" w:rsidP="000E2370">
      <w:pPr>
        <w:pStyle w:val="ListParagraph"/>
        <w:spacing w:before="120" w:after="120" w:line="240" w:lineRule="auto"/>
        <w:ind w:left="709"/>
        <w:rPr>
          <w:rFonts w:cs="Calibri"/>
          <w:szCs w:val="24"/>
        </w:rPr>
      </w:pPr>
    </w:p>
    <w:p w:rsidR="004213D5" w:rsidRDefault="004213D5" w:rsidP="008D69B7">
      <w:pPr>
        <w:pStyle w:val="ListParagraph"/>
        <w:numPr>
          <w:ilvl w:val="1"/>
          <w:numId w:val="50"/>
        </w:numPr>
        <w:spacing w:before="120" w:after="120" w:line="240" w:lineRule="auto"/>
        <w:ind w:left="709" w:hanging="709"/>
        <w:rPr>
          <w:rFonts w:cs="Calibri"/>
          <w:szCs w:val="24"/>
        </w:rPr>
      </w:pPr>
      <w:r w:rsidRPr="004213D5">
        <w:rPr>
          <w:rFonts w:cs="Calibri"/>
          <w:szCs w:val="24"/>
        </w:rPr>
        <w:t xml:space="preserve">This will require appointing a highly experienced and competent Youth Development Worker who will be able to work across the community as </w:t>
      </w:r>
      <w:r w:rsidRPr="004213D5">
        <w:rPr>
          <w:rFonts w:cs="Calibri"/>
          <w:szCs w:val="24"/>
        </w:rPr>
        <w:lastRenderedPageBreak/>
        <w:t>particularly well with established youth centres. We estimate a budget of £50,000 a year for at least t</w:t>
      </w:r>
      <w:r w:rsidR="00210586">
        <w:rPr>
          <w:rFonts w:cs="Calibri"/>
          <w:szCs w:val="24"/>
        </w:rPr>
        <w:t>hree years to support this role, plus funding for specific projects.</w:t>
      </w:r>
    </w:p>
    <w:p w:rsidR="000E2370" w:rsidRPr="004213D5" w:rsidRDefault="000E2370" w:rsidP="000E2370">
      <w:pPr>
        <w:pStyle w:val="ListParagraph"/>
        <w:spacing w:before="120" w:after="120" w:line="240" w:lineRule="auto"/>
        <w:ind w:left="709"/>
        <w:rPr>
          <w:rFonts w:cs="Calibri"/>
          <w:szCs w:val="24"/>
        </w:rPr>
      </w:pPr>
    </w:p>
    <w:p w:rsidR="004213D5" w:rsidRDefault="004213D5" w:rsidP="00E4001A">
      <w:pPr>
        <w:pStyle w:val="ListParagraph"/>
        <w:spacing w:before="120" w:after="120" w:line="240" w:lineRule="auto"/>
        <w:ind w:left="709"/>
        <w:rPr>
          <w:rFonts w:cs="Calibri"/>
          <w:szCs w:val="24"/>
        </w:rPr>
      </w:pPr>
    </w:p>
    <w:p w:rsidR="004213D5" w:rsidRPr="004213D5" w:rsidRDefault="004213D5" w:rsidP="00DA136E">
      <w:pPr>
        <w:ind w:firstLine="709"/>
        <w:rPr>
          <w:rFonts w:cs="Calibri"/>
          <w:b/>
          <w:color w:val="365F91" w:themeColor="accent1" w:themeShade="BF"/>
          <w:szCs w:val="24"/>
        </w:rPr>
      </w:pPr>
      <w:r w:rsidRPr="004213D5">
        <w:rPr>
          <w:rFonts w:cs="Calibri"/>
          <w:b/>
          <w:color w:val="365F91" w:themeColor="accent1" w:themeShade="BF"/>
          <w:szCs w:val="24"/>
        </w:rPr>
        <w:t>BYV Outputs/Outcomes (per year)</w:t>
      </w:r>
    </w:p>
    <w:p w:rsidR="004213D5" w:rsidRDefault="004213D5" w:rsidP="008D69B7">
      <w:pPr>
        <w:pStyle w:val="ListParagraph"/>
        <w:numPr>
          <w:ilvl w:val="1"/>
          <w:numId w:val="50"/>
        </w:numPr>
        <w:spacing w:before="120" w:after="120" w:line="240" w:lineRule="auto"/>
        <w:ind w:left="709" w:hanging="709"/>
        <w:rPr>
          <w:rFonts w:cs="Calibri"/>
          <w:szCs w:val="24"/>
        </w:rPr>
      </w:pPr>
      <w:r>
        <w:rPr>
          <w:rFonts w:cs="Calibri"/>
          <w:szCs w:val="24"/>
        </w:rPr>
        <w:t>The</w:t>
      </w:r>
      <w:r w:rsidR="00A84611">
        <w:rPr>
          <w:rFonts w:cs="Calibri"/>
          <w:szCs w:val="24"/>
        </w:rPr>
        <w:t xml:space="preserve"> </w:t>
      </w:r>
      <w:r w:rsidRPr="004213D5">
        <w:rPr>
          <w:rFonts w:cs="Calibri"/>
          <w:szCs w:val="24"/>
        </w:rPr>
        <w:t xml:space="preserve">following estimated </w:t>
      </w:r>
      <w:r w:rsidR="00A84611" w:rsidRPr="00A84611">
        <w:rPr>
          <w:rFonts w:cs="Calibri"/>
          <w:b/>
          <w:color w:val="365F91" w:themeColor="accent1" w:themeShade="BF"/>
          <w:szCs w:val="24"/>
        </w:rPr>
        <w:t>annual</w:t>
      </w:r>
      <w:r w:rsidR="00A84611">
        <w:rPr>
          <w:rFonts w:cs="Calibri"/>
          <w:szCs w:val="24"/>
        </w:rPr>
        <w:t xml:space="preserve"> </w:t>
      </w:r>
      <w:r w:rsidRPr="004213D5">
        <w:rPr>
          <w:rFonts w:cs="Calibri"/>
          <w:szCs w:val="24"/>
        </w:rPr>
        <w:t xml:space="preserve">outputs and outcomes are based on the current level of engagement with young people </w:t>
      </w:r>
      <w:r w:rsidR="00D452EB">
        <w:rPr>
          <w:rFonts w:cs="Calibri"/>
          <w:szCs w:val="24"/>
        </w:rPr>
        <w:t>expanded and developed through the</w:t>
      </w:r>
      <w:r w:rsidRPr="004213D5">
        <w:rPr>
          <w:rFonts w:cs="Calibri"/>
          <w:szCs w:val="24"/>
        </w:rPr>
        <w:t xml:space="preserve"> partnership investment programme.</w:t>
      </w:r>
    </w:p>
    <w:p w:rsidR="004213D5" w:rsidRDefault="004213D5" w:rsidP="004213D5">
      <w:pPr>
        <w:pStyle w:val="ListParagraph"/>
        <w:spacing w:before="120" w:after="120" w:line="240" w:lineRule="auto"/>
        <w:ind w:left="709"/>
        <w:rPr>
          <w:rFonts w:cs="Calibri"/>
          <w:szCs w:val="24"/>
        </w:rPr>
      </w:pPr>
    </w:p>
    <w:tbl>
      <w:tblPr>
        <w:tblStyle w:val="TableGrid"/>
        <w:tblW w:w="0" w:type="auto"/>
        <w:tblInd w:w="930" w:type="dxa"/>
        <w:tblLook w:val="04A0"/>
      </w:tblPr>
      <w:tblGrid>
        <w:gridCol w:w="3573"/>
        <w:gridCol w:w="889"/>
        <w:gridCol w:w="4462"/>
      </w:tblGrid>
      <w:tr w:rsidR="004213D5" w:rsidTr="004213D5">
        <w:tc>
          <w:tcPr>
            <w:tcW w:w="4462" w:type="dxa"/>
            <w:gridSpan w:val="2"/>
          </w:tcPr>
          <w:p w:rsidR="004213D5" w:rsidRPr="00362E77" w:rsidRDefault="004213D5" w:rsidP="004213D5">
            <w:pPr>
              <w:pStyle w:val="ListParagraph"/>
              <w:spacing w:before="120" w:after="120"/>
              <w:ind w:left="0"/>
              <w:jc w:val="center"/>
              <w:rPr>
                <w:rFonts w:cs="Calibri"/>
                <w:b/>
                <w:color w:val="365F91" w:themeColor="accent1" w:themeShade="BF"/>
                <w:szCs w:val="24"/>
              </w:rPr>
            </w:pPr>
            <w:r w:rsidRPr="00362E77">
              <w:rPr>
                <w:rFonts w:cs="Calibri"/>
                <w:b/>
                <w:color w:val="365F91" w:themeColor="accent1" w:themeShade="BF"/>
                <w:szCs w:val="24"/>
              </w:rPr>
              <w:t>Outputs – Young People:</w:t>
            </w:r>
          </w:p>
        </w:tc>
        <w:tc>
          <w:tcPr>
            <w:tcW w:w="4462" w:type="dxa"/>
          </w:tcPr>
          <w:p w:rsidR="004213D5" w:rsidRPr="00362E77" w:rsidRDefault="004213D5" w:rsidP="004213D5">
            <w:pPr>
              <w:pStyle w:val="ListParagraph"/>
              <w:spacing w:before="120" w:after="120"/>
              <w:ind w:left="0"/>
              <w:jc w:val="center"/>
              <w:rPr>
                <w:rFonts w:cs="Calibri"/>
                <w:b/>
                <w:color w:val="365F91" w:themeColor="accent1" w:themeShade="BF"/>
                <w:szCs w:val="24"/>
              </w:rPr>
            </w:pPr>
            <w:r w:rsidRPr="00362E77">
              <w:rPr>
                <w:rFonts w:cs="Calibri"/>
                <w:b/>
                <w:color w:val="365F91" w:themeColor="accent1" w:themeShade="BF"/>
                <w:szCs w:val="24"/>
              </w:rPr>
              <w:t>Outcomes –Changes</w:t>
            </w:r>
            <w:r w:rsidR="00362E77">
              <w:rPr>
                <w:rStyle w:val="FootnoteReference"/>
                <w:rFonts w:cs="Calibri"/>
                <w:b/>
                <w:color w:val="365F91" w:themeColor="accent1" w:themeShade="BF"/>
                <w:szCs w:val="24"/>
              </w:rPr>
              <w:footnoteReference w:id="5"/>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Gaining Skills</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24</w:t>
            </w:r>
          </w:p>
        </w:tc>
        <w:tc>
          <w:tcPr>
            <w:tcW w:w="4462" w:type="dxa"/>
          </w:tcPr>
          <w:p w:rsidR="00362E77" w:rsidRDefault="00362E77" w:rsidP="00362E77">
            <w:pPr>
              <w:pStyle w:val="ListParagraph"/>
              <w:spacing w:before="120" w:after="120"/>
              <w:ind w:left="0"/>
              <w:rPr>
                <w:rFonts w:cs="Calibri"/>
                <w:szCs w:val="24"/>
              </w:rPr>
            </w:pPr>
            <w:r>
              <w:rPr>
                <w:rFonts w:cs="Calibri"/>
                <w:szCs w:val="24"/>
              </w:rPr>
              <w:t>% Increased Confidence</w:t>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Qualifications</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12</w:t>
            </w:r>
          </w:p>
        </w:tc>
        <w:tc>
          <w:tcPr>
            <w:tcW w:w="4462" w:type="dxa"/>
          </w:tcPr>
          <w:p w:rsidR="00362E77" w:rsidRDefault="00362E77" w:rsidP="00362E77">
            <w:pPr>
              <w:pStyle w:val="ListParagraph"/>
              <w:spacing w:before="120" w:after="120"/>
              <w:ind w:left="0"/>
              <w:rPr>
                <w:rFonts w:cs="Calibri"/>
                <w:szCs w:val="24"/>
              </w:rPr>
            </w:pPr>
            <w:r>
              <w:rPr>
                <w:rFonts w:cs="Calibri"/>
                <w:szCs w:val="24"/>
              </w:rPr>
              <w:t>% Enhanced Social Skills</w:t>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Leading Projects</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8</w:t>
            </w:r>
          </w:p>
        </w:tc>
        <w:tc>
          <w:tcPr>
            <w:tcW w:w="4462" w:type="dxa"/>
          </w:tcPr>
          <w:p w:rsidR="00362E77" w:rsidRDefault="00362E77" w:rsidP="00362E77">
            <w:pPr>
              <w:pStyle w:val="ListParagraph"/>
              <w:spacing w:before="120" w:after="120"/>
              <w:ind w:left="0"/>
              <w:rPr>
                <w:rFonts w:cs="Calibri"/>
                <w:szCs w:val="24"/>
              </w:rPr>
            </w:pPr>
            <w:r>
              <w:rPr>
                <w:rFonts w:cs="Calibri"/>
                <w:szCs w:val="24"/>
              </w:rPr>
              <w:t>% Rising Aspirations</w:t>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Employment</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10</w:t>
            </w:r>
          </w:p>
        </w:tc>
        <w:tc>
          <w:tcPr>
            <w:tcW w:w="4462" w:type="dxa"/>
          </w:tcPr>
          <w:p w:rsidR="00362E77" w:rsidRDefault="00362E77" w:rsidP="00362E77">
            <w:pPr>
              <w:pStyle w:val="ListParagraph"/>
              <w:spacing w:before="120" w:after="120"/>
              <w:ind w:left="0"/>
              <w:rPr>
                <w:rFonts w:cs="Calibri"/>
                <w:szCs w:val="24"/>
              </w:rPr>
            </w:pPr>
            <w:r>
              <w:rPr>
                <w:rFonts w:cs="Calibri"/>
                <w:szCs w:val="24"/>
              </w:rPr>
              <w:t>% Positive about Battersea</w:t>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Mentoring</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8</w:t>
            </w:r>
          </w:p>
        </w:tc>
        <w:tc>
          <w:tcPr>
            <w:tcW w:w="4462" w:type="dxa"/>
          </w:tcPr>
          <w:p w:rsidR="00362E77" w:rsidRDefault="00362E77" w:rsidP="00362E77">
            <w:pPr>
              <w:pStyle w:val="ListParagraph"/>
              <w:spacing w:before="120" w:after="120"/>
              <w:ind w:left="0"/>
              <w:rPr>
                <w:rFonts w:cs="Calibri"/>
                <w:szCs w:val="24"/>
              </w:rPr>
            </w:pPr>
            <w:r>
              <w:rPr>
                <w:rFonts w:cs="Calibri"/>
                <w:szCs w:val="24"/>
              </w:rPr>
              <w:t>% Participating in the Community</w:t>
            </w:r>
          </w:p>
        </w:tc>
      </w:tr>
      <w:tr w:rsidR="00362E77" w:rsidTr="002365E3">
        <w:tc>
          <w:tcPr>
            <w:tcW w:w="3573" w:type="dxa"/>
          </w:tcPr>
          <w:p w:rsidR="00362E77" w:rsidRDefault="00362E77" w:rsidP="004213D5">
            <w:pPr>
              <w:pStyle w:val="ListParagraph"/>
              <w:spacing w:before="120" w:after="120"/>
              <w:ind w:left="0"/>
              <w:rPr>
                <w:rFonts w:cs="Calibri"/>
                <w:szCs w:val="24"/>
              </w:rPr>
            </w:pPr>
            <w:r>
              <w:rPr>
                <w:rFonts w:cs="Calibri"/>
                <w:szCs w:val="24"/>
              </w:rPr>
              <w:t>Developing Social Enterprises</w:t>
            </w:r>
          </w:p>
        </w:tc>
        <w:tc>
          <w:tcPr>
            <w:tcW w:w="889" w:type="dxa"/>
          </w:tcPr>
          <w:p w:rsidR="00362E77" w:rsidRDefault="00362E77" w:rsidP="004213D5">
            <w:pPr>
              <w:pStyle w:val="ListParagraph"/>
              <w:spacing w:before="120" w:after="120"/>
              <w:ind w:left="0"/>
              <w:jc w:val="right"/>
              <w:rPr>
                <w:rFonts w:cs="Calibri"/>
                <w:szCs w:val="24"/>
              </w:rPr>
            </w:pPr>
            <w:r>
              <w:rPr>
                <w:rFonts w:cs="Calibri"/>
                <w:szCs w:val="24"/>
              </w:rPr>
              <w:t>2</w:t>
            </w:r>
          </w:p>
        </w:tc>
        <w:tc>
          <w:tcPr>
            <w:tcW w:w="4462" w:type="dxa"/>
          </w:tcPr>
          <w:p w:rsidR="00362E77" w:rsidRDefault="00362E77" w:rsidP="004213D5">
            <w:pPr>
              <w:pStyle w:val="ListParagraph"/>
              <w:spacing w:before="120" w:after="120"/>
              <w:ind w:left="0"/>
              <w:jc w:val="right"/>
              <w:rPr>
                <w:rFonts w:cs="Calibri"/>
                <w:szCs w:val="24"/>
              </w:rPr>
            </w:pPr>
          </w:p>
        </w:tc>
      </w:tr>
      <w:tr w:rsidR="00362E77" w:rsidTr="002365E3">
        <w:tc>
          <w:tcPr>
            <w:tcW w:w="3573" w:type="dxa"/>
          </w:tcPr>
          <w:p w:rsidR="00362E77" w:rsidRDefault="00362E77" w:rsidP="004213D5">
            <w:pPr>
              <w:pStyle w:val="ListParagraph"/>
              <w:spacing w:before="120" w:after="120"/>
              <w:ind w:left="0"/>
              <w:rPr>
                <w:rFonts w:cs="Calibri"/>
                <w:szCs w:val="24"/>
              </w:rPr>
            </w:pPr>
          </w:p>
        </w:tc>
        <w:tc>
          <w:tcPr>
            <w:tcW w:w="889" w:type="dxa"/>
          </w:tcPr>
          <w:p w:rsidR="00362E77" w:rsidRDefault="00362E77" w:rsidP="004213D5">
            <w:pPr>
              <w:pStyle w:val="ListParagraph"/>
              <w:spacing w:before="120" w:after="120"/>
              <w:ind w:left="0"/>
              <w:jc w:val="right"/>
              <w:rPr>
                <w:rFonts w:cs="Calibri"/>
                <w:szCs w:val="24"/>
              </w:rPr>
            </w:pPr>
          </w:p>
        </w:tc>
        <w:tc>
          <w:tcPr>
            <w:tcW w:w="4462" w:type="dxa"/>
          </w:tcPr>
          <w:p w:rsidR="00362E77" w:rsidRDefault="00362E77" w:rsidP="004213D5">
            <w:pPr>
              <w:pStyle w:val="ListParagraph"/>
              <w:spacing w:before="120" w:after="120"/>
              <w:ind w:left="0"/>
              <w:jc w:val="right"/>
              <w:rPr>
                <w:rFonts w:cs="Calibri"/>
                <w:szCs w:val="24"/>
              </w:rPr>
            </w:pPr>
          </w:p>
        </w:tc>
      </w:tr>
    </w:tbl>
    <w:p w:rsidR="004213D5" w:rsidRDefault="004213D5" w:rsidP="004213D5">
      <w:pPr>
        <w:pStyle w:val="ListParagraph"/>
        <w:spacing w:before="120" w:after="120" w:line="240" w:lineRule="auto"/>
        <w:ind w:left="709"/>
        <w:rPr>
          <w:rFonts w:cs="Calibri"/>
          <w:szCs w:val="24"/>
        </w:rPr>
      </w:pPr>
    </w:p>
    <w:p w:rsidR="004213D5" w:rsidRDefault="00454009" w:rsidP="008D69B7">
      <w:pPr>
        <w:pStyle w:val="ListParagraph"/>
        <w:numPr>
          <w:ilvl w:val="1"/>
          <w:numId w:val="50"/>
        </w:numPr>
        <w:spacing w:before="120" w:after="120" w:line="240" w:lineRule="auto"/>
        <w:ind w:left="709" w:hanging="709"/>
        <w:rPr>
          <w:rFonts w:cs="Calibri"/>
          <w:szCs w:val="24"/>
        </w:rPr>
      </w:pPr>
      <w:r>
        <w:rPr>
          <w:rFonts w:cs="Calibri"/>
          <w:szCs w:val="24"/>
        </w:rPr>
        <w:t xml:space="preserve">This investment will see a dramatic shift in approach from a reliance on youth services, anti-social behaviour measures and involvement with the criminal justice system, towards supported and empowered young people developing the skills and knowledge to create </w:t>
      </w:r>
      <w:r w:rsidR="00CD4A4E">
        <w:rPr>
          <w:rFonts w:cs="Calibri"/>
          <w:szCs w:val="24"/>
        </w:rPr>
        <w:t>their own responses to the challenges of living in one of the most deprived parts of London.</w:t>
      </w:r>
    </w:p>
    <w:p w:rsidR="002A5F31" w:rsidRDefault="002A5F31" w:rsidP="002A5F31">
      <w:pPr>
        <w:pStyle w:val="ListParagraph"/>
        <w:spacing w:before="120" w:after="120" w:line="240" w:lineRule="auto"/>
        <w:ind w:left="709"/>
        <w:rPr>
          <w:rFonts w:cs="Calibri"/>
          <w:szCs w:val="24"/>
        </w:rPr>
      </w:pPr>
    </w:p>
    <w:p w:rsidR="002A5F31" w:rsidRPr="00CD4A4E" w:rsidRDefault="00CD4A4E" w:rsidP="00CD4A4E">
      <w:pPr>
        <w:pStyle w:val="ListParagraph"/>
        <w:numPr>
          <w:ilvl w:val="1"/>
          <w:numId w:val="50"/>
        </w:numPr>
        <w:spacing w:before="120" w:after="120" w:line="240" w:lineRule="auto"/>
        <w:ind w:left="709" w:hanging="709"/>
        <w:rPr>
          <w:rFonts w:cs="Calibri"/>
          <w:szCs w:val="24"/>
        </w:rPr>
      </w:pPr>
      <w:r>
        <w:rPr>
          <w:rFonts w:cs="Calibri"/>
          <w:szCs w:val="24"/>
        </w:rPr>
        <w:t>Given time and consistent support BYV could lay the foundations for a new and innovative form of community self-reliance.</w:t>
      </w:r>
    </w:p>
    <w:p w:rsidR="00CD4A4E" w:rsidRDefault="00CD4A4E" w:rsidP="002A5F31">
      <w:pPr>
        <w:ind w:firstLine="709"/>
        <w:rPr>
          <w:b/>
          <w:color w:val="365F91" w:themeColor="accent1" w:themeShade="BF"/>
        </w:rPr>
      </w:pPr>
    </w:p>
    <w:p w:rsidR="00071FB4" w:rsidRPr="002A5F31" w:rsidRDefault="00071FB4" w:rsidP="002A5F31">
      <w:pPr>
        <w:ind w:firstLine="709"/>
        <w:rPr>
          <w:b/>
          <w:color w:val="365F91" w:themeColor="accent1" w:themeShade="BF"/>
        </w:rPr>
      </w:pPr>
      <w:r w:rsidRPr="002A5F31">
        <w:rPr>
          <w:b/>
          <w:color w:val="365F91" w:themeColor="accent1" w:themeShade="BF"/>
        </w:rPr>
        <w:t>Community Action Reward (CAR)</w:t>
      </w:r>
    </w:p>
    <w:p w:rsidR="00071FB4" w:rsidRDefault="00071FB4" w:rsidP="008D69B7">
      <w:pPr>
        <w:pStyle w:val="ListParagraph"/>
        <w:numPr>
          <w:ilvl w:val="1"/>
          <w:numId w:val="50"/>
        </w:numPr>
        <w:spacing w:before="120" w:after="120" w:line="240" w:lineRule="auto"/>
        <w:ind w:left="709" w:hanging="709"/>
        <w:rPr>
          <w:rFonts w:cs="Calibri"/>
          <w:szCs w:val="24"/>
        </w:rPr>
      </w:pPr>
      <w:r w:rsidRPr="00071FB4">
        <w:rPr>
          <w:rFonts w:cs="Calibri"/>
          <w:szCs w:val="24"/>
        </w:rPr>
        <w:t>As well as providing a safe and accessible range of local facilities, we aim to provide BYV with practical incentives (residentials, outward bound courses) as well as a new system of Community Action Reward (CAR) that ‘pays’ young people for their time and work commitments to BVY. We see CAR as a means of recognition and reward that will be used to cover the costs for personal training, skills development and other forms of education.</w:t>
      </w:r>
    </w:p>
    <w:p w:rsidR="00071FB4" w:rsidRPr="00071FB4" w:rsidRDefault="00071FB4" w:rsidP="00071FB4">
      <w:pPr>
        <w:pStyle w:val="ListParagraph"/>
        <w:spacing w:before="120" w:after="120" w:line="240" w:lineRule="auto"/>
        <w:ind w:left="709"/>
        <w:rPr>
          <w:rFonts w:cs="Calibri"/>
          <w:szCs w:val="24"/>
        </w:rPr>
      </w:pPr>
    </w:p>
    <w:p w:rsidR="00071FB4" w:rsidRDefault="00071FB4" w:rsidP="008D69B7">
      <w:pPr>
        <w:pStyle w:val="ListParagraph"/>
        <w:numPr>
          <w:ilvl w:val="1"/>
          <w:numId w:val="50"/>
        </w:numPr>
        <w:spacing w:before="120" w:after="120" w:line="240" w:lineRule="auto"/>
        <w:ind w:left="709" w:hanging="709"/>
        <w:rPr>
          <w:rFonts w:cs="Calibri"/>
          <w:szCs w:val="24"/>
        </w:rPr>
      </w:pPr>
      <w:r w:rsidRPr="00071FB4">
        <w:rPr>
          <w:rFonts w:cs="Calibri"/>
          <w:szCs w:val="24"/>
        </w:rPr>
        <w:t>We estimate that the personal development and training budget (CAR) will cost ap</w:t>
      </w:r>
      <w:r w:rsidR="002A5F31">
        <w:rPr>
          <w:rFonts w:cs="Calibri"/>
          <w:szCs w:val="24"/>
        </w:rPr>
        <w:t>proximately £20</w:t>
      </w:r>
      <w:r w:rsidRPr="00071FB4">
        <w:rPr>
          <w:rFonts w:cs="Calibri"/>
          <w:szCs w:val="24"/>
        </w:rPr>
        <w:t>,000 a year.</w:t>
      </w:r>
    </w:p>
    <w:p w:rsidR="002A5F31" w:rsidRPr="002A5F31" w:rsidRDefault="002A5F31" w:rsidP="002A5F31">
      <w:pPr>
        <w:pStyle w:val="ListParagraph"/>
        <w:rPr>
          <w:rFonts w:cs="Calibri"/>
          <w:szCs w:val="24"/>
        </w:rPr>
      </w:pPr>
    </w:p>
    <w:p w:rsidR="00071FB4" w:rsidRDefault="002A5F31" w:rsidP="008D69B7">
      <w:pPr>
        <w:pStyle w:val="ListParagraph"/>
        <w:numPr>
          <w:ilvl w:val="1"/>
          <w:numId w:val="50"/>
        </w:numPr>
        <w:spacing w:before="120" w:after="120" w:line="240" w:lineRule="auto"/>
        <w:ind w:left="709" w:hanging="709"/>
        <w:rPr>
          <w:rFonts w:cs="Calibri"/>
          <w:szCs w:val="24"/>
        </w:rPr>
      </w:pPr>
      <w:r>
        <w:rPr>
          <w:rFonts w:cs="Calibri"/>
          <w:szCs w:val="24"/>
        </w:rPr>
        <w:lastRenderedPageBreak/>
        <w:t>It is likely that CAR will need to be approved by government and statutory services as an ‘eligible’ expenditure which should not impact on benefits or student loans.</w:t>
      </w:r>
      <w:r w:rsidR="00CE2B20">
        <w:rPr>
          <w:rFonts w:cs="Calibri"/>
          <w:szCs w:val="24"/>
        </w:rPr>
        <w:t xml:space="preserve"> The Alliance has secured the support of Battersea MP Marsha De Cordova to promote the CAR initiative.</w:t>
      </w:r>
    </w:p>
    <w:p w:rsidR="00CE2B20" w:rsidRPr="00CE2B20" w:rsidRDefault="00CE2B20" w:rsidP="00CE2B20">
      <w:pPr>
        <w:pStyle w:val="ListParagraph"/>
        <w:rPr>
          <w:rFonts w:cs="Calibri"/>
          <w:szCs w:val="24"/>
        </w:rPr>
      </w:pPr>
    </w:p>
    <w:p w:rsidR="002A5F31" w:rsidRPr="002A5F31" w:rsidRDefault="002A5F31" w:rsidP="002A5F31">
      <w:pPr>
        <w:pStyle w:val="ListParagraph"/>
        <w:rPr>
          <w:rFonts w:cs="Calibri"/>
          <w:szCs w:val="24"/>
        </w:rPr>
      </w:pPr>
    </w:p>
    <w:p w:rsidR="005D6522" w:rsidRPr="00DA136E" w:rsidRDefault="005D6522" w:rsidP="00DA136E">
      <w:pPr>
        <w:ind w:left="210" w:firstLine="720"/>
        <w:rPr>
          <w:b/>
          <w:color w:val="365F91" w:themeColor="accent1" w:themeShade="BF"/>
        </w:rPr>
      </w:pPr>
      <w:r w:rsidRPr="00DA136E">
        <w:rPr>
          <w:b/>
          <w:color w:val="365F91" w:themeColor="accent1" w:themeShade="BF"/>
        </w:rPr>
        <w:t>Volunteering Coordination</w:t>
      </w:r>
    </w:p>
    <w:p w:rsidR="005D6522" w:rsidRDefault="005C4FD7" w:rsidP="008D69B7">
      <w:pPr>
        <w:pStyle w:val="ListParagraph"/>
        <w:numPr>
          <w:ilvl w:val="1"/>
          <w:numId w:val="50"/>
        </w:numPr>
        <w:spacing w:before="120" w:after="120" w:line="240" w:lineRule="auto"/>
        <w:ind w:left="851" w:hanging="851"/>
        <w:rPr>
          <w:rFonts w:cs="Calibri"/>
          <w:szCs w:val="24"/>
        </w:rPr>
      </w:pPr>
      <w:r w:rsidRPr="009F72DD">
        <w:rPr>
          <w:rFonts w:cs="Calibri"/>
          <w:szCs w:val="24"/>
        </w:rPr>
        <w:t>The</w:t>
      </w:r>
      <w:r w:rsidR="00213CC9">
        <w:rPr>
          <w:rFonts w:cs="Calibri"/>
          <w:szCs w:val="24"/>
        </w:rPr>
        <w:t xml:space="preserve"> State of the Sector report identified over 1300 volunteers working in the BLSW11 area</w:t>
      </w:r>
      <w:r w:rsidR="004A3490">
        <w:rPr>
          <w:rFonts w:cs="Calibri"/>
          <w:szCs w:val="24"/>
        </w:rPr>
        <w:t xml:space="preserve"> including many on the Estates</w:t>
      </w:r>
      <w:r w:rsidR="00213CC9">
        <w:rPr>
          <w:rFonts w:cs="Calibri"/>
          <w:szCs w:val="24"/>
        </w:rPr>
        <w:t>. We aim to engage with 130</w:t>
      </w:r>
      <w:r w:rsidR="0020726F">
        <w:rPr>
          <w:rFonts w:cs="Calibri"/>
          <w:szCs w:val="24"/>
        </w:rPr>
        <w:t xml:space="preserve"> volunteers</w:t>
      </w:r>
      <w:r w:rsidR="00213CC9">
        <w:rPr>
          <w:rFonts w:cs="Calibri"/>
          <w:szCs w:val="24"/>
        </w:rPr>
        <w:t xml:space="preserve"> (10%) over three years to support their personal and skills development.</w:t>
      </w:r>
    </w:p>
    <w:p w:rsidR="00240B8B" w:rsidRDefault="00240B8B" w:rsidP="00240B8B">
      <w:pPr>
        <w:pStyle w:val="ListParagraph"/>
        <w:spacing w:before="120" w:after="120" w:line="240" w:lineRule="auto"/>
        <w:ind w:left="928"/>
        <w:rPr>
          <w:rFonts w:cs="Calibri"/>
          <w:szCs w:val="24"/>
        </w:rPr>
      </w:pPr>
    </w:p>
    <w:p w:rsidR="00240B8B" w:rsidRDefault="00240B8B" w:rsidP="008D69B7">
      <w:pPr>
        <w:pStyle w:val="ListParagraph"/>
        <w:numPr>
          <w:ilvl w:val="1"/>
          <w:numId w:val="50"/>
        </w:numPr>
        <w:spacing w:before="120" w:after="120" w:line="240" w:lineRule="auto"/>
        <w:ind w:left="851" w:hanging="851"/>
        <w:rPr>
          <w:rFonts w:cs="Calibri"/>
          <w:szCs w:val="24"/>
        </w:rPr>
      </w:pPr>
      <w:r>
        <w:rPr>
          <w:rFonts w:cs="Calibri"/>
          <w:szCs w:val="24"/>
        </w:rPr>
        <w:t>We have, through the State of the Sector process, established relations with 33 local organisations that have expressed an interest in working with us. Many of these participated in the June 2019 Battersea Charity Week and are already ‘signed-up’ to developing further links.</w:t>
      </w:r>
    </w:p>
    <w:p w:rsidR="000F0E5E" w:rsidRDefault="000F0E5E" w:rsidP="00071FB4">
      <w:pPr>
        <w:pStyle w:val="ListParagraph"/>
        <w:spacing w:before="120" w:after="120" w:line="240" w:lineRule="auto"/>
        <w:ind w:left="851" w:hanging="851"/>
        <w:rPr>
          <w:rFonts w:cs="Calibri"/>
          <w:szCs w:val="24"/>
        </w:rPr>
      </w:pPr>
    </w:p>
    <w:p w:rsidR="005D6522" w:rsidRDefault="00213CC9" w:rsidP="008D69B7">
      <w:pPr>
        <w:pStyle w:val="ListParagraph"/>
        <w:numPr>
          <w:ilvl w:val="1"/>
          <w:numId w:val="50"/>
        </w:numPr>
        <w:spacing w:before="120" w:after="120" w:line="240" w:lineRule="auto"/>
        <w:ind w:left="851" w:hanging="851"/>
        <w:rPr>
          <w:rFonts w:cs="Calibri"/>
          <w:szCs w:val="24"/>
        </w:rPr>
      </w:pPr>
      <w:r>
        <w:rPr>
          <w:rFonts w:cs="Calibri"/>
          <w:szCs w:val="24"/>
        </w:rPr>
        <w:t>Our volunteers will be engaged in a  range of projects that address isolation and mental health issues (part</w:t>
      </w:r>
      <w:r w:rsidR="0020726F">
        <w:rPr>
          <w:rFonts w:cs="Calibri"/>
          <w:szCs w:val="24"/>
        </w:rPr>
        <w:t>icularly Anxiety and Depression) including: Intergenerational work, adopt a Gran/Granddad; Community Fitness; Oral history; cross cultural food, music and arts events.</w:t>
      </w:r>
    </w:p>
    <w:p w:rsidR="0020726F" w:rsidRPr="0020726F" w:rsidRDefault="0020726F" w:rsidP="00071FB4">
      <w:pPr>
        <w:pStyle w:val="ListParagraph"/>
        <w:ind w:left="851" w:hanging="851"/>
        <w:rPr>
          <w:rFonts w:cs="Calibri"/>
          <w:szCs w:val="24"/>
        </w:rPr>
      </w:pPr>
    </w:p>
    <w:p w:rsidR="0020726F" w:rsidRDefault="00240B8B" w:rsidP="008D69B7">
      <w:pPr>
        <w:pStyle w:val="ListParagraph"/>
        <w:numPr>
          <w:ilvl w:val="1"/>
          <w:numId w:val="50"/>
        </w:numPr>
        <w:spacing w:before="120" w:after="120" w:line="240" w:lineRule="auto"/>
        <w:ind w:left="851" w:hanging="851"/>
        <w:rPr>
          <w:rFonts w:cs="Calibri"/>
          <w:szCs w:val="24"/>
        </w:rPr>
      </w:pPr>
      <w:r>
        <w:rPr>
          <w:rFonts w:cs="Calibri"/>
          <w:szCs w:val="24"/>
        </w:rPr>
        <w:t>Engagement with and working on the personal development of volunteers will require a deep knowledge of the Sector and some expertise in volunteering issues; we estimate a budget of approximately £50,000 a year for t</w:t>
      </w:r>
      <w:r w:rsidR="00210586">
        <w:rPr>
          <w:rFonts w:cs="Calibri"/>
          <w:szCs w:val="24"/>
        </w:rPr>
        <w:t>hree years to support this role, plus further funding for specific projects.</w:t>
      </w:r>
    </w:p>
    <w:p w:rsidR="00A84611" w:rsidRPr="00A84611" w:rsidRDefault="00A84611" w:rsidP="00A84611">
      <w:pPr>
        <w:pStyle w:val="ListParagraph"/>
        <w:rPr>
          <w:rFonts w:cs="Calibri"/>
          <w:szCs w:val="24"/>
        </w:rPr>
      </w:pPr>
    </w:p>
    <w:p w:rsidR="00AF4FAD" w:rsidRDefault="003030A2" w:rsidP="008D69B7">
      <w:pPr>
        <w:pStyle w:val="ListParagraph"/>
        <w:numPr>
          <w:ilvl w:val="1"/>
          <w:numId w:val="50"/>
        </w:numPr>
        <w:spacing w:before="120" w:after="120" w:line="240" w:lineRule="auto"/>
        <w:ind w:left="851" w:hanging="851"/>
        <w:rPr>
          <w:rFonts w:cs="Calibri"/>
          <w:szCs w:val="24"/>
        </w:rPr>
      </w:pPr>
      <w:r>
        <w:rPr>
          <w:rFonts w:cs="Calibri"/>
          <w:szCs w:val="24"/>
        </w:rPr>
        <w:t>Local volunteers being supported in their persona</w:t>
      </w:r>
      <w:r w:rsidR="00CD4A4E">
        <w:rPr>
          <w:rFonts w:cs="Calibri"/>
          <w:szCs w:val="24"/>
        </w:rPr>
        <w:t xml:space="preserve">l development will ‘unlock’ community capacity to do more outreach and engagement work on the </w:t>
      </w:r>
      <w:r w:rsidR="004A3490">
        <w:rPr>
          <w:rFonts w:cs="Calibri"/>
          <w:szCs w:val="24"/>
        </w:rPr>
        <w:t>E</w:t>
      </w:r>
      <w:r w:rsidR="00CD4A4E">
        <w:rPr>
          <w:rFonts w:cs="Calibri"/>
          <w:szCs w:val="24"/>
        </w:rPr>
        <w:t>states.</w:t>
      </w:r>
    </w:p>
    <w:p w:rsidR="00AF4FAD" w:rsidRPr="00AF4FAD" w:rsidRDefault="00AF4FAD" w:rsidP="00AF4FAD">
      <w:pPr>
        <w:pStyle w:val="ListParagraph"/>
        <w:rPr>
          <w:rFonts w:cs="Calibri"/>
          <w:szCs w:val="24"/>
        </w:rPr>
      </w:pPr>
    </w:p>
    <w:p w:rsidR="00AF4FAD" w:rsidRPr="00AF4FAD" w:rsidRDefault="00AF4FAD" w:rsidP="00AF4FAD">
      <w:pPr>
        <w:pStyle w:val="ListParagraph"/>
        <w:spacing w:before="120" w:after="120" w:line="240" w:lineRule="auto"/>
        <w:ind w:left="928"/>
        <w:rPr>
          <w:rFonts w:cs="Calibri"/>
          <w:b/>
          <w:color w:val="365F91" w:themeColor="accent1" w:themeShade="BF"/>
          <w:szCs w:val="24"/>
        </w:rPr>
      </w:pPr>
      <w:r w:rsidRPr="00AF4FAD">
        <w:rPr>
          <w:rFonts w:cs="Calibri"/>
          <w:b/>
          <w:color w:val="365F91" w:themeColor="accent1" w:themeShade="BF"/>
          <w:szCs w:val="24"/>
        </w:rPr>
        <w:t>Projects</w:t>
      </w:r>
    </w:p>
    <w:p w:rsidR="00AF4FAD" w:rsidRDefault="00AF4FAD" w:rsidP="00AF4FAD">
      <w:pPr>
        <w:pStyle w:val="ListParagraph"/>
        <w:spacing w:before="120" w:after="120" w:line="240" w:lineRule="auto"/>
        <w:ind w:left="851"/>
        <w:rPr>
          <w:rFonts w:cs="Calibri"/>
          <w:szCs w:val="24"/>
        </w:rPr>
      </w:pPr>
    </w:p>
    <w:p w:rsidR="00282816" w:rsidRDefault="00282816" w:rsidP="008D69B7">
      <w:pPr>
        <w:pStyle w:val="ListParagraph"/>
        <w:numPr>
          <w:ilvl w:val="1"/>
          <w:numId w:val="50"/>
        </w:numPr>
        <w:spacing w:before="120" w:after="120" w:line="240" w:lineRule="auto"/>
        <w:ind w:left="851" w:hanging="851"/>
        <w:rPr>
          <w:rFonts w:cs="Calibri"/>
          <w:szCs w:val="24"/>
        </w:rPr>
      </w:pPr>
      <w:r>
        <w:rPr>
          <w:rFonts w:cs="Calibri"/>
          <w:szCs w:val="24"/>
        </w:rPr>
        <w:t xml:space="preserve">Our analysis of volunteering in SW11 suggests that there is considerable goodwill and commitment but a lack of recognition and support for volunteers. </w:t>
      </w:r>
    </w:p>
    <w:p w:rsidR="00282816" w:rsidRDefault="00282816" w:rsidP="00282816">
      <w:pPr>
        <w:pStyle w:val="ListParagraph"/>
        <w:spacing w:before="120" w:after="120" w:line="240" w:lineRule="auto"/>
        <w:ind w:left="851"/>
        <w:rPr>
          <w:rFonts w:cs="Calibri"/>
          <w:szCs w:val="24"/>
        </w:rPr>
      </w:pPr>
    </w:p>
    <w:p w:rsidR="00A84611" w:rsidRDefault="00AF4FAD" w:rsidP="008D69B7">
      <w:pPr>
        <w:pStyle w:val="ListParagraph"/>
        <w:numPr>
          <w:ilvl w:val="1"/>
          <w:numId w:val="50"/>
        </w:numPr>
        <w:spacing w:before="120" w:after="120" w:line="240" w:lineRule="auto"/>
        <w:ind w:left="851" w:hanging="851"/>
        <w:rPr>
          <w:rFonts w:cs="Calibri"/>
          <w:szCs w:val="24"/>
        </w:rPr>
      </w:pPr>
      <w:r>
        <w:rPr>
          <w:rFonts w:cs="Calibri"/>
          <w:szCs w:val="24"/>
        </w:rPr>
        <w:t>The proje</w:t>
      </w:r>
      <w:r w:rsidR="00CE2B20">
        <w:rPr>
          <w:rFonts w:cs="Calibri"/>
          <w:szCs w:val="24"/>
        </w:rPr>
        <w:t>ct proposals given at Appendix 2</w:t>
      </w:r>
      <w:r>
        <w:rPr>
          <w:rFonts w:cs="Calibri"/>
          <w:szCs w:val="24"/>
        </w:rPr>
        <w:t xml:space="preserve"> are not intended to be exhaustive but illustrate the range and depth of initiatives that could be developed with investment in volunteers.</w:t>
      </w:r>
    </w:p>
    <w:p w:rsidR="00A84611" w:rsidRPr="00A84611" w:rsidRDefault="00A84611" w:rsidP="00A84611">
      <w:pPr>
        <w:pStyle w:val="ListParagraph"/>
        <w:rPr>
          <w:rFonts w:cs="Calibri"/>
          <w:szCs w:val="24"/>
        </w:rPr>
      </w:pPr>
    </w:p>
    <w:p w:rsidR="00A84611" w:rsidRDefault="00AF4FAD" w:rsidP="004A3490">
      <w:pPr>
        <w:pStyle w:val="ListParagraph"/>
        <w:ind w:firstLine="131"/>
        <w:rPr>
          <w:rFonts w:cs="Calibri"/>
          <w:b/>
          <w:color w:val="365F91" w:themeColor="accent1" w:themeShade="BF"/>
          <w:szCs w:val="24"/>
        </w:rPr>
      </w:pPr>
      <w:r w:rsidRPr="00AF4FAD">
        <w:rPr>
          <w:rFonts w:cs="Calibri"/>
          <w:b/>
          <w:color w:val="365F91" w:themeColor="accent1" w:themeShade="BF"/>
          <w:szCs w:val="24"/>
        </w:rPr>
        <w:t>Volunteering Outputs and Outcomes</w:t>
      </w:r>
    </w:p>
    <w:p w:rsidR="00AF4FAD" w:rsidRPr="00AF4FAD" w:rsidRDefault="00AF4FAD" w:rsidP="00A84611">
      <w:pPr>
        <w:pStyle w:val="ListParagraph"/>
        <w:rPr>
          <w:rFonts w:cs="Calibri"/>
          <w:b/>
          <w:color w:val="365F91" w:themeColor="accent1" w:themeShade="BF"/>
          <w:szCs w:val="24"/>
        </w:rPr>
      </w:pPr>
    </w:p>
    <w:p w:rsidR="00A84611" w:rsidRDefault="00AF4FAD" w:rsidP="008D69B7">
      <w:pPr>
        <w:pStyle w:val="ListParagraph"/>
        <w:numPr>
          <w:ilvl w:val="1"/>
          <w:numId w:val="50"/>
        </w:numPr>
        <w:spacing w:before="120" w:after="120" w:line="240" w:lineRule="auto"/>
        <w:ind w:left="851" w:hanging="851"/>
        <w:rPr>
          <w:rFonts w:cs="Calibri"/>
          <w:szCs w:val="24"/>
        </w:rPr>
      </w:pPr>
      <w:r>
        <w:rPr>
          <w:rFonts w:cs="Calibri"/>
          <w:szCs w:val="24"/>
        </w:rPr>
        <w:t>For each year of the community investment programme we anticipate the following outputs and outcomes:</w:t>
      </w:r>
    </w:p>
    <w:p w:rsidR="00A84611" w:rsidRPr="00A84611" w:rsidRDefault="00A84611" w:rsidP="00A84611">
      <w:pPr>
        <w:pStyle w:val="ListParagraph"/>
        <w:rPr>
          <w:rFonts w:cs="Calibri"/>
          <w:szCs w:val="24"/>
        </w:rPr>
      </w:pPr>
    </w:p>
    <w:tbl>
      <w:tblPr>
        <w:tblStyle w:val="TableGrid"/>
        <w:tblW w:w="0" w:type="auto"/>
        <w:tblInd w:w="930" w:type="dxa"/>
        <w:tblLook w:val="04A0"/>
      </w:tblPr>
      <w:tblGrid>
        <w:gridCol w:w="3573"/>
        <w:gridCol w:w="889"/>
        <w:gridCol w:w="4462"/>
      </w:tblGrid>
      <w:tr w:rsidR="00AF4FAD" w:rsidTr="002365E3">
        <w:tc>
          <w:tcPr>
            <w:tcW w:w="4462" w:type="dxa"/>
            <w:gridSpan w:val="2"/>
          </w:tcPr>
          <w:p w:rsidR="00AF4FAD" w:rsidRPr="00362E77" w:rsidRDefault="00AF4FAD" w:rsidP="002365E3">
            <w:pPr>
              <w:pStyle w:val="ListParagraph"/>
              <w:spacing w:before="120" w:after="120"/>
              <w:ind w:left="0"/>
              <w:jc w:val="center"/>
              <w:rPr>
                <w:rFonts w:cs="Calibri"/>
                <w:b/>
                <w:color w:val="365F91" w:themeColor="accent1" w:themeShade="BF"/>
                <w:szCs w:val="24"/>
              </w:rPr>
            </w:pPr>
            <w:r>
              <w:rPr>
                <w:rFonts w:cs="Calibri"/>
                <w:b/>
                <w:color w:val="365F91" w:themeColor="accent1" w:themeShade="BF"/>
                <w:szCs w:val="24"/>
              </w:rPr>
              <w:lastRenderedPageBreak/>
              <w:t>Outputs – Volunteers</w:t>
            </w:r>
          </w:p>
        </w:tc>
        <w:tc>
          <w:tcPr>
            <w:tcW w:w="4462" w:type="dxa"/>
          </w:tcPr>
          <w:p w:rsidR="00AF4FAD" w:rsidRPr="00362E77" w:rsidRDefault="00AF4FAD" w:rsidP="002365E3">
            <w:pPr>
              <w:pStyle w:val="ListParagraph"/>
              <w:spacing w:before="120" w:after="120"/>
              <w:ind w:left="0"/>
              <w:jc w:val="center"/>
              <w:rPr>
                <w:rFonts w:cs="Calibri"/>
                <w:b/>
                <w:color w:val="365F91" w:themeColor="accent1" w:themeShade="BF"/>
                <w:szCs w:val="24"/>
              </w:rPr>
            </w:pPr>
            <w:r w:rsidRPr="00362E77">
              <w:rPr>
                <w:rFonts w:cs="Calibri"/>
                <w:b/>
                <w:color w:val="365F91" w:themeColor="accent1" w:themeShade="BF"/>
                <w:szCs w:val="24"/>
              </w:rPr>
              <w:t>Outcomes –Changes</w:t>
            </w:r>
            <w:r>
              <w:rPr>
                <w:rStyle w:val="FootnoteReference"/>
                <w:rFonts w:cs="Calibri"/>
                <w:b/>
                <w:color w:val="365F91" w:themeColor="accent1" w:themeShade="BF"/>
                <w:szCs w:val="24"/>
              </w:rPr>
              <w:footnoteReference w:id="6"/>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Gaining Skills</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30</w:t>
            </w:r>
          </w:p>
        </w:tc>
        <w:tc>
          <w:tcPr>
            <w:tcW w:w="4462" w:type="dxa"/>
          </w:tcPr>
          <w:p w:rsidR="00AF4FAD" w:rsidRDefault="00AF4FAD" w:rsidP="002365E3">
            <w:pPr>
              <w:pStyle w:val="ListParagraph"/>
              <w:spacing w:before="120" w:after="120"/>
              <w:ind w:left="0"/>
              <w:rPr>
                <w:rFonts w:cs="Calibri"/>
                <w:szCs w:val="24"/>
              </w:rPr>
            </w:pPr>
            <w:r>
              <w:rPr>
                <w:rFonts w:cs="Calibri"/>
                <w:szCs w:val="24"/>
              </w:rPr>
              <w:t>% Increased Confidence</w:t>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Qualifications</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11</w:t>
            </w:r>
          </w:p>
        </w:tc>
        <w:tc>
          <w:tcPr>
            <w:tcW w:w="4462" w:type="dxa"/>
          </w:tcPr>
          <w:p w:rsidR="00AF4FAD" w:rsidRDefault="00AF4FAD" w:rsidP="002365E3">
            <w:pPr>
              <w:pStyle w:val="ListParagraph"/>
              <w:spacing w:before="120" w:after="120"/>
              <w:ind w:left="0"/>
              <w:rPr>
                <w:rFonts w:cs="Calibri"/>
                <w:szCs w:val="24"/>
              </w:rPr>
            </w:pPr>
            <w:r>
              <w:rPr>
                <w:rFonts w:cs="Calibri"/>
                <w:szCs w:val="24"/>
              </w:rPr>
              <w:t>% Enhanced Social Skills</w:t>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Leading Projects</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4</w:t>
            </w:r>
          </w:p>
        </w:tc>
        <w:tc>
          <w:tcPr>
            <w:tcW w:w="4462" w:type="dxa"/>
          </w:tcPr>
          <w:p w:rsidR="00AF4FAD" w:rsidRDefault="00AF4FAD" w:rsidP="002365E3">
            <w:pPr>
              <w:pStyle w:val="ListParagraph"/>
              <w:spacing w:before="120" w:after="120"/>
              <w:ind w:left="0"/>
              <w:rPr>
                <w:rFonts w:cs="Calibri"/>
                <w:szCs w:val="24"/>
              </w:rPr>
            </w:pPr>
            <w:r>
              <w:rPr>
                <w:rFonts w:cs="Calibri"/>
                <w:szCs w:val="24"/>
              </w:rPr>
              <w:t>% Rising Aspirations</w:t>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Employment</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5</w:t>
            </w:r>
          </w:p>
        </w:tc>
        <w:tc>
          <w:tcPr>
            <w:tcW w:w="4462" w:type="dxa"/>
          </w:tcPr>
          <w:p w:rsidR="00AF4FAD" w:rsidRDefault="00AF4FAD" w:rsidP="002365E3">
            <w:pPr>
              <w:pStyle w:val="ListParagraph"/>
              <w:spacing w:before="120" w:after="120"/>
              <w:ind w:left="0"/>
              <w:rPr>
                <w:rFonts w:cs="Calibri"/>
                <w:szCs w:val="24"/>
              </w:rPr>
            </w:pPr>
            <w:r>
              <w:rPr>
                <w:rFonts w:cs="Calibri"/>
                <w:szCs w:val="24"/>
              </w:rPr>
              <w:t>% Positive about Battersea</w:t>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Mentoring</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5</w:t>
            </w:r>
          </w:p>
        </w:tc>
        <w:tc>
          <w:tcPr>
            <w:tcW w:w="4462" w:type="dxa"/>
          </w:tcPr>
          <w:p w:rsidR="00AF4FAD" w:rsidRDefault="00AF4FAD" w:rsidP="002365E3">
            <w:pPr>
              <w:pStyle w:val="ListParagraph"/>
              <w:spacing w:before="120" w:after="120"/>
              <w:ind w:left="0"/>
              <w:rPr>
                <w:rFonts w:cs="Calibri"/>
                <w:szCs w:val="24"/>
              </w:rPr>
            </w:pPr>
            <w:r>
              <w:rPr>
                <w:rFonts w:cs="Calibri"/>
                <w:szCs w:val="24"/>
              </w:rPr>
              <w:t>% Participating in the Community</w:t>
            </w:r>
          </w:p>
        </w:tc>
      </w:tr>
      <w:tr w:rsidR="00AF4FAD" w:rsidTr="002365E3">
        <w:tc>
          <w:tcPr>
            <w:tcW w:w="3573" w:type="dxa"/>
          </w:tcPr>
          <w:p w:rsidR="00AF4FAD" w:rsidRDefault="00AF4FAD" w:rsidP="002365E3">
            <w:pPr>
              <w:pStyle w:val="ListParagraph"/>
              <w:spacing w:before="120" w:after="120"/>
              <w:ind w:left="0"/>
              <w:rPr>
                <w:rFonts w:cs="Calibri"/>
                <w:szCs w:val="24"/>
              </w:rPr>
            </w:pPr>
            <w:r>
              <w:rPr>
                <w:rFonts w:cs="Calibri"/>
                <w:szCs w:val="24"/>
              </w:rPr>
              <w:t>Developing Social Enterprises</w:t>
            </w:r>
          </w:p>
        </w:tc>
        <w:tc>
          <w:tcPr>
            <w:tcW w:w="889" w:type="dxa"/>
          </w:tcPr>
          <w:p w:rsidR="00AF4FAD" w:rsidRDefault="00AF4FAD" w:rsidP="002365E3">
            <w:pPr>
              <w:pStyle w:val="ListParagraph"/>
              <w:spacing w:before="120" w:after="120"/>
              <w:ind w:left="0"/>
              <w:jc w:val="right"/>
              <w:rPr>
                <w:rFonts w:cs="Calibri"/>
                <w:szCs w:val="24"/>
              </w:rPr>
            </w:pPr>
            <w:r>
              <w:rPr>
                <w:rFonts w:cs="Calibri"/>
                <w:szCs w:val="24"/>
              </w:rPr>
              <w:t>1</w:t>
            </w:r>
          </w:p>
        </w:tc>
        <w:tc>
          <w:tcPr>
            <w:tcW w:w="4462" w:type="dxa"/>
          </w:tcPr>
          <w:p w:rsidR="00AF4FAD" w:rsidRDefault="00AF4FAD" w:rsidP="002365E3">
            <w:pPr>
              <w:pStyle w:val="ListParagraph"/>
              <w:spacing w:before="120" w:after="120"/>
              <w:ind w:left="0"/>
              <w:jc w:val="right"/>
              <w:rPr>
                <w:rFonts w:cs="Calibri"/>
                <w:szCs w:val="24"/>
              </w:rPr>
            </w:pPr>
          </w:p>
        </w:tc>
      </w:tr>
      <w:tr w:rsidR="00AF4FAD" w:rsidTr="002365E3">
        <w:tc>
          <w:tcPr>
            <w:tcW w:w="3573" w:type="dxa"/>
          </w:tcPr>
          <w:p w:rsidR="00AF4FAD" w:rsidRDefault="00AF4FAD" w:rsidP="002365E3">
            <w:pPr>
              <w:pStyle w:val="ListParagraph"/>
              <w:spacing w:before="120" w:after="120"/>
              <w:ind w:left="0"/>
              <w:rPr>
                <w:rFonts w:cs="Calibri"/>
                <w:szCs w:val="24"/>
              </w:rPr>
            </w:pPr>
          </w:p>
        </w:tc>
        <w:tc>
          <w:tcPr>
            <w:tcW w:w="889" w:type="dxa"/>
          </w:tcPr>
          <w:p w:rsidR="00AF4FAD" w:rsidRDefault="00AF4FAD" w:rsidP="002365E3">
            <w:pPr>
              <w:pStyle w:val="ListParagraph"/>
              <w:spacing w:before="120" w:after="120"/>
              <w:ind w:left="0"/>
              <w:jc w:val="right"/>
              <w:rPr>
                <w:rFonts w:cs="Calibri"/>
                <w:szCs w:val="24"/>
              </w:rPr>
            </w:pPr>
          </w:p>
        </w:tc>
        <w:tc>
          <w:tcPr>
            <w:tcW w:w="4462" w:type="dxa"/>
          </w:tcPr>
          <w:p w:rsidR="00AF4FAD" w:rsidRDefault="00AF4FAD" w:rsidP="002365E3">
            <w:pPr>
              <w:pStyle w:val="ListParagraph"/>
              <w:spacing w:before="120" w:after="120"/>
              <w:ind w:left="0"/>
              <w:jc w:val="right"/>
              <w:rPr>
                <w:rFonts w:cs="Calibri"/>
                <w:szCs w:val="24"/>
              </w:rPr>
            </w:pPr>
          </w:p>
        </w:tc>
      </w:tr>
    </w:tbl>
    <w:p w:rsidR="00A84611" w:rsidRDefault="00A84611" w:rsidP="00AF4FAD">
      <w:pPr>
        <w:pStyle w:val="ListParagraph"/>
        <w:spacing w:before="120" w:after="120" w:line="240" w:lineRule="auto"/>
        <w:ind w:left="851"/>
        <w:rPr>
          <w:rFonts w:cs="Calibri"/>
          <w:szCs w:val="24"/>
        </w:rPr>
      </w:pPr>
    </w:p>
    <w:p w:rsidR="00A84611" w:rsidRPr="00A84611" w:rsidRDefault="00A84611" w:rsidP="00A84611">
      <w:pPr>
        <w:pStyle w:val="ListParagraph"/>
        <w:rPr>
          <w:rFonts w:cs="Calibri"/>
          <w:szCs w:val="24"/>
        </w:rPr>
      </w:pPr>
    </w:p>
    <w:p w:rsidR="00A84611" w:rsidRDefault="00D2730C" w:rsidP="008D69B7">
      <w:pPr>
        <w:pStyle w:val="ListParagraph"/>
        <w:numPr>
          <w:ilvl w:val="1"/>
          <w:numId w:val="50"/>
        </w:numPr>
        <w:spacing w:before="120" w:after="120" w:line="240" w:lineRule="auto"/>
        <w:ind w:left="851" w:hanging="851"/>
        <w:rPr>
          <w:rFonts w:cs="Calibri"/>
          <w:szCs w:val="24"/>
        </w:rPr>
      </w:pPr>
      <w:r>
        <w:rPr>
          <w:rFonts w:cs="Calibri"/>
          <w:szCs w:val="24"/>
        </w:rPr>
        <w:t>As well as developing the skills and knowledge of current volunteers the programme also aims to attract new volunteering and through this help to build and strengthen the capacity of the community voluntary sector in SW11 and Battersea.</w:t>
      </w:r>
    </w:p>
    <w:p w:rsidR="00A84611" w:rsidRPr="00A84611" w:rsidRDefault="00A84611" w:rsidP="00A84611">
      <w:pPr>
        <w:pStyle w:val="ListParagraph"/>
        <w:rPr>
          <w:rFonts w:cs="Calibri"/>
          <w:szCs w:val="24"/>
        </w:rPr>
      </w:pPr>
    </w:p>
    <w:p w:rsidR="00A84611" w:rsidRPr="002365E3" w:rsidRDefault="002365E3" w:rsidP="002365E3">
      <w:pPr>
        <w:pStyle w:val="ListParagraph"/>
        <w:spacing w:before="120" w:after="120" w:line="240" w:lineRule="auto"/>
        <w:ind w:left="851"/>
        <w:rPr>
          <w:rFonts w:cs="Calibri"/>
          <w:b/>
          <w:color w:val="365F91" w:themeColor="accent1" w:themeShade="BF"/>
          <w:szCs w:val="24"/>
        </w:rPr>
      </w:pPr>
      <w:r w:rsidRPr="002365E3">
        <w:rPr>
          <w:rFonts w:cs="Calibri"/>
          <w:b/>
          <w:color w:val="365F91" w:themeColor="accent1" w:themeShade="BF"/>
          <w:szCs w:val="24"/>
        </w:rPr>
        <w:t>Community Voluntary Sector</w:t>
      </w:r>
      <w:r>
        <w:rPr>
          <w:rFonts w:cs="Calibri"/>
          <w:b/>
          <w:color w:val="365F91" w:themeColor="accent1" w:themeShade="BF"/>
          <w:szCs w:val="24"/>
        </w:rPr>
        <w:t xml:space="preserve"> (CVS)</w:t>
      </w:r>
    </w:p>
    <w:p w:rsidR="002365E3" w:rsidRPr="002365E3" w:rsidRDefault="002365E3" w:rsidP="002365E3">
      <w:pPr>
        <w:pStyle w:val="ListParagraph"/>
        <w:rPr>
          <w:rFonts w:cs="Calibri"/>
          <w:szCs w:val="24"/>
        </w:rPr>
      </w:pPr>
    </w:p>
    <w:p w:rsidR="004A3490" w:rsidRDefault="00794E18" w:rsidP="008D69B7">
      <w:pPr>
        <w:pStyle w:val="ListParagraph"/>
        <w:numPr>
          <w:ilvl w:val="1"/>
          <w:numId w:val="50"/>
        </w:numPr>
        <w:spacing w:before="120" w:after="120" w:line="240" w:lineRule="auto"/>
        <w:ind w:left="851" w:hanging="851"/>
        <w:rPr>
          <w:rFonts w:cs="Calibri"/>
          <w:szCs w:val="24"/>
        </w:rPr>
      </w:pPr>
      <w:r>
        <w:rPr>
          <w:rFonts w:cs="Calibri"/>
          <w:szCs w:val="24"/>
        </w:rPr>
        <w:t>U</w:t>
      </w:r>
      <w:r w:rsidR="004A3490">
        <w:rPr>
          <w:rFonts w:cs="Calibri"/>
          <w:szCs w:val="24"/>
        </w:rPr>
        <w:t>nder-recognised and appreciate</w:t>
      </w:r>
      <w:r>
        <w:rPr>
          <w:rFonts w:cs="Calibri"/>
          <w:szCs w:val="24"/>
        </w:rPr>
        <w:t>d a hidden</w:t>
      </w:r>
      <w:r w:rsidR="004A3490">
        <w:rPr>
          <w:rFonts w:cs="Calibri"/>
          <w:szCs w:val="24"/>
        </w:rPr>
        <w:t xml:space="preserve"> strength of SW11 lies in the relatively high number of small community based organisations that operate in or close to the Estates.</w:t>
      </w:r>
    </w:p>
    <w:p w:rsidR="004A3490" w:rsidRDefault="004A3490" w:rsidP="004A3490">
      <w:pPr>
        <w:pStyle w:val="ListParagraph"/>
        <w:spacing w:before="120" w:after="120" w:line="240" w:lineRule="auto"/>
        <w:ind w:left="851"/>
        <w:rPr>
          <w:rFonts w:cs="Calibri"/>
          <w:szCs w:val="24"/>
        </w:rPr>
      </w:pPr>
    </w:p>
    <w:p w:rsidR="002365E3" w:rsidRDefault="002365E3" w:rsidP="008D69B7">
      <w:pPr>
        <w:pStyle w:val="ListParagraph"/>
        <w:numPr>
          <w:ilvl w:val="1"/>
          <w:numId w:val="50"/>
        </w:numPr>
        <w:spacing w:before="120" w:after="120" w:line="240" w:lineRule="auto"/>
        <w:ind w:left="851" w:hanging="851"/>
        <w:rPr>
          <w:rFonts w:cs="Calibri"/>
          <w:szCs w:val="24"/>
        </w:rPr>
      </w:pPr>
      <w:r>
        <w:rPr>
          <w:rFonts w:cs="Calibri"/>
          <w:szCs w:val="24"/>
        </w:rPr>
        <w:t>The 33 organisations that</w:t>
      </w:r>
      <w:r w:rsidR="002A5F31">
        <w:rPr>
          <w:rFonts w:cs="Calibri"/>
          <w:szCs w:val="24"/>
        </w:rPr>
        <w:t xml:space="preserve"> have expressed interest in working with BLSW11 are, in the main, small, under-resourced and heavily dependent on insecure grant income.</w:t>
      </w:r>
    </w:p>
    <w:p w:rsidR="002365E3" w:rsidRDefault="002365E3" w:rsidP="002365E3">
      <w:pPr>
        <w:pStyle w:val="ListParagraph"/>
        <w:spacing w:before="120" w:after="120" w:line="240" w:lineRule="auto"/>
        <w:ind w:left="851"/>
        <w:rPr>
          <w:rFonts w:cs="Calibri"/>
          <w:szCs w:val="24"/>
        </w:rPr>
      </w:pPr>
    </w:p>
    <w:p w:rsidR="002365E3" w:rsidRDefault="004A3490" w:rsidP="008D69B7">
      <w:pPr>
        <w:pStyle w:val="ListParagraph"/>
        <w:numPr>
          <w:ilvl w:val="1"/>
          <w:numId w:val="50"/>
        </w:numPr>
        <w:spacing w:before="120" w:after="120" w:line="240" w:lineRule="auto"/>
        <w:ind w:left="851" w:hanging="851"/>
        <w:rPr>
          <w:rFonts w:cs="Calibri"/>
          <w:szCs w:val="24"/>
        </w:rPr>
      </w:pPr>
      <w:r>
        <w:rPr>
          <w:rFonts w:cs="Calibri"/>
          <w:szCs w:val="24"/>
        </w:rPr>
        <w:t>Our area does not have a CVS infrastructure organisation see</w:t>
      </w:r>
      <w:r w:rsidR="00794E18">
        <w:rPr>
          <w:rFonts w:cs="Calibri"/>
          <w:szCs w:val="24"/>
        </w:rPr>
        <w:t>n</w:t>
      </w:r>
      <w:r>
        <w:rPr>
          <w:rFonts w:cs="Calibri"/>
          <w:szCs w:val="24"/>
        </w:rPr>
        <w:t xml:space="preserve"> in many other London Boroughs and </w:t>
      </w:r>
      <w:r w:rsidR="00794E18">
        <w:rPr>
          <w:rFonts w:cs="Calibri"/>
          <w:szCs w:val="24"/>
        </w:rPr>
        <w:t>i</w:t>
      </w:r>
      <w:r w:rsidR="00D2730C">
        <w:rPr>
          <w:rFonts w:cs="Calibri"/>
          <w:szCs w:val="24"/>
        </w:rPr>
        <w:t xml:space="preserve">n developing its strategy the </w:t>
      </w:r>
      <w:r w:rsidR="00794E18">
        <w:rPr>
          <w:rFonts w:cs="Calibri"/>
          <w:szCs w:val="24"/>
        </w:rPr>
        <w:t>Alliance would aim to:</w:t>
      </w:r>
    </w:p>
    <w:p w:rsidR="002C24DC" w:rsidRDefault="002C24DC" w:rsidP="002C24DC">
      <w:pPr>
        <w:numPr>
          <w:ilvl w:val="0"/>
          <w:numId w:val="46"/>
        </w:numPr>
        <w:spacing w:after="0" w:line="360" w:lineRule="auto"/>
        <w:rPr>
          <w:rFonts w:eastAsia="Times New Roman"/>
        </w:rPr>
      </w:pPr>
      <w:r>
        <w:rPr>
          <w:rFonts w:eastAsia="Times New Roman"/>
        </w:rPr>
        <w:t>Share resources and activities with other providers</w:t>
      </w:r>
    </w:p>
    <w:p w:rsidR="002C24DC" w:rsidRDefault="002C24DC" w:rsidP="002C24DC">
      <w:pPr>
        <w:numPr>
          <w:ilvl w:val="0"/>
          <w:numId w:val="46"/>
        </w:numPr>
        <w:spacing w:after="0" w:line="240" w:lineRule="auto"/>
        <w:rPr>
          <w:rFonts w:eastAsia="Times New Roman"/>
        </w:rPr>
      </w:pPr>
      <w:r>
        <w:rPr>
          <w:rFonts w:eastAsia="Times New Roman"/>
        </w:rPr>
        <w:t>Deliver joint projects</w:t>
      </w:r>
    </w:p>
    <w:p w:rsidR="002C24DC" w:rsidRDefault="002C24DC" w:rsidP="002C24DC">
      <w:pPr>
        <w:spacing w:after="0" w:line="240" w:lineRule="auto"/>
        <w:ind w:left="1571"/>
        <w:rPr>
          <w:rFonts w:eastAsia="Times New Roman"/>
        </w:rPr>
      </w:pPr>
    </w:p>
    <w:p w:rsidR="002C24DC" w:rsidRDefault="002C24DC" w:rsidP="002C24DC">
      <w:pPr>
        <w:numPr>
          <w:ilvl w:val="0"/>
          <w:numId w:val="46"/>
        </w:numPr>
        <w:spacing w:after="0" w:line="360" w:lineRule="auto"/>
        <w:rPr>
          <w:rFonts w:eastAsia="Times New Roman"/>
        </w:rPr>
      </w:pPr>
      <w:r>
        <w:rPr>
          <w:rFonts w:eastAsia="Times New Roman"/>
        </w:rPr>
        <w:t>Allow access to five venues</w:t>
      </w:r>
    </w:p>
    <w:p w:rsidR="002C24DC" w:rsidRDefault="002C24DC" w:rsidP="002C24DC">
      <w:pPr>
        <w:numPr>
          <w:ilvl w:val="0"/>
          <w:numId w:val="46"/>
        </w:numPr>
        <w:spacing w:after="0" w:line="360" w:lineRule="auto"/>
        <w:rPr>
          <w:rFonts w:eastAsia="Times New Roman"/>
        </w:rPr>
      </w:pPr>
      <w:r>
        <w:rPr>
          <w:rFonts w:eastAsia="Times New Roman"/>
        </w:rPr>
        <w:t>Continue themes like Charity week</w:t>
      </w:r>
    </w:p>
    <w:p w:rsidR="002C24DC" w:rsidRDefault="002C24DC" w:rsidP="002C24DC">
      <w:pPr>
        <w:numPr>
          <w:ilvl w:val="0"/>
          <w:numId w:val="46"/>
        </w:numPr>
        <w:spacing w:after="0" w:line="360" w:lineRule="auto"/>
        <w:rPr>
          <w:rFonts w:eastAsia="Times New Roman"/>
        </w:rPr>
      </w:pPr>
      <w:r>
        <w:rPr>
          <w:rFonts w:eastAsia="Times New Roman"/>
        </w:rPr>
        <w:t>Act as support network</w:t>
      </w:r>
    </w:p>
    <w:p w:rsidR="00FC7735" w:rsidRPr="00FC7735" w:rsidRDefault="002C24DC" w:rsidP="00FC7735">
      <w:pPr>
        <w:numPr>
          <w:ilvl w:val="0"/>
          <w:numId w:val="46"/>
        </w:numPr>
        <w:spacing w:after="0" w:line="360" w:lineRule="auto"/>
        <w:rPr>
          <w:rFonts w:eastAsia="Times New Roman"/>
        </w:rPr>
      </w:pPr>
      <w:r>
        <w:rPr>
          <w:rFonts w:eastAsia="Times New Roman"/>
        </w:rPr>
        <w:t xml:space="preserve">Link local organisations with funding and other opportunities </w:t>
      </w:r>
    </w:p>
    <w:p w:rsidR="00FC7735" w:rsidRDefault="00FC7735" w:rsidP="00FC7735">
      <w:pPr>
        <w:pStyle w:val="ListParagraph"/>
        <w:spacing w:before="120" w:after="120" w:line="240" w:lineRule="auto"/>
        <w:ind w:left="851"/>
        <w:rPr>
          <w:rFonts w:cs="Calibri"/>
          <w:szCs w:val="24"/>
        </w:rPr>
      </w:pPr>
    </w:p>
    <w:p w:rsidR="002365E3" w:rsidRDefault="00794E18" w:rsidP="008D69B7">
      <w:pPr>
        <w:pStyle w:val="ListParagraph"/>
        <w:numPr>
          <w:ilvl w:val="1"/>
          <w:numId w:val="50"/>
        </w:numPr>
        <w:spacing w:before="120" w:after="120" w:line="240" w:lineRule="auto"/>
        <w:ind w:left="851" w:hanging="851"/>
        <w:rPr>
          <w:rFonts w:cs="Calibri"/>
          <w:szCs w:val="24"/>
        </w:rPr>
      </w:pPr>
      <w:r>
        <w:rPr>
          <w:rFonts w:cs="Calibri"/>
          <w:szCs w:val="24"/>
        </w:rPr>
        <w:t>Our aim is to see the CVS in SW11</w:t>
      </w:r>
      <w:r w:rsidR="0030181D">
        <w:rPr>
          <w:rFonts w:cs="Calibri"/>
          <w:szCs w:val="24"/>
        </w:rPr>
        <w:t>,</w:t>
      </w:r>
      <w:r>
        <w:rPr>
          <w:rFonts w:cs="Calibri"/>
          <w:szCs w:val="24"/>
        </w:rPr>
        <w:t xml:space="preserve"> </w:t>
      </w:r>
      <w:r w:rsidR="0030181D">
        <w:rPr>
          <w:rFonts w:cs="Calibri"/>
          <w:szCs w:val="24"/>
        </w:rPr>
        <w:t xml:space="preserve">where possible, combining resources, developing partnerships and </w:t>
      </w:r>
      <w:r w:rsidR="009242A2">
        <w:rPr>
          <w:rFonts w:cs="Calibri"/>
          <w:szCs w:val="24"/>
        </w:rPr>
        <w:t>securing longer term financial support that will build capacity and reduce insecurity and over-reliance on ad hoc grant regimes.</w:t>
      </w:r>
    </w:p>
    <w:p w:rsidR="00CC3D18" w:rsidRPr="00BF40FF" w:rsidRDefault="00C63A85" w:rsidP="008F72C9">
      <w:pPr>
        <w:pStyle w:val="Heading2"/>
        <w:numPr>
          <w:ilvl w:val="0"/>
          <w:numId w:val="50"/>
        </w:numPr>
        <w:ind w:left="851" w:hanging="425"/>
        <w:rPr>
          <w:sz w:val="32"/>
          <w:szCs w:val="32"/>
        </w:rPr>
      </w:pPr>
      <w:bookmarkStart w:id="3" w:name="_Toc17971671"/>
      <w:r w:rsidRPr="00BF40FF">
        <w:rPr>
          <w:sz w:val="32"/>
          <w:szCs w:val="32"/>
        </w:rPr>
        <w:lastRenderedPageBreak/>
        <w:t xml:space="preserve">Overall </w:t>
      </w:r>
      <w:r w:rsidR="009F72DD" w:rsidRPr="00BF40FF">
        <w:rPr>
          <w:sz w:val="32"/>
          <w:szCs w:val="32"/>
        </w:rPr>
        <w:t>Outcomes</w:t>
      </w:r>
      <w:r w:rsidR="00C37294" w:rsidRPr="00BF40FF">
        <w:rPr>
          <w:sz w:val="32"/>
          <w:szCs w:val="32"/>
        </w:rPr>
        <w:t xml:space="preserve"> 2024</w:t>
      </w:r>
      <w:r w:rsidR="00D83511" w:rsidRPr="00BF40FF">
        <w:rPr>
          <w:sz w:val="32"/>
          <w:szCs w:val="32"/>
        </w:rPr>
        <w:t>/5</w:t>
      </w:r>
      <w:bookmarkEnd w:id="3"/>
    </w:p>
    <w:p w:rsidR="006521D9" w:rsidRDefault="006521D9" w:rsidP="0075151E">
      <w:pPr>
        <w:pStyle w:val="ListParagraph"/>
        <w:spacing w:before="120" w:after="120" w:line="240" w:lineRule="auto"/>
        <w:ind w:left="360"/>
        <w:rPr>
          <w:rFonts w:cs="Calibri"/>
          <w:b/>
          <w:color w:val="365F91" w:themeColor="accent1" w:themeShade="BF"/>
          <w:szCs w:val="24"/>
        </w:rPr>
      </w:pPr>
    </w:p>
    <w:p w:rsidR="00D83511" w:rsidRDefault="00D350A3" w:rsidP="008D69B7">
      <w:pPr>
        <w:pStyle w:val="ListParagraph"/>
        <w:numPr>
          <w:ilvl w:val="1"/>
          <w:numId w:val="50"/>
        </w:numPr>
        <w:spacing w:before="120" w:after="120" w:line="240" w:lineRule="auto"/>
        <w:ind w:left="851" w:hanging="567"/>
        <w:rPr>
          <w:rFonts w:cs="Calibri"/>
          <w:szCs w:val="24"/>
        </w:rPr>
      </w:pPr>
      <w:r>
        <w:rPr>
          <w:rFonts w:cs="Calibri"/>
          <w:szCs w:val="24"/>
        </w:rPr>
        <w:t>By investing in Community Infrastructure, o</w:t>
      </w:r>
      <w:r w:rsidR="00D83511">
        <w:rPr>
          <w:rFonts w:cs="Calibri"/>
          <w:szCs w:val="24"/>
        </w:rPr>
        <w:t>ver the long term</w:t>
      </w:r>
      <w:r>
        <w:rPr>
          <w:rFonts w:cs="Calibri"/>
          <w:szCs w:val="24"/>
        </w:rPr>
        <w:t>,</w:t>
      </w:r>
      <w:r w:rsidR="00D83511">
        <w:rPr>
          <w:rFonts w:cs="Calibri"/>
          <w:szCs w:val="24"/>
        </w:rPr>
        <w:t xml:space="preserve"> we foresee a range of outcomes that in combination will evidence the rebuilding of the social fabric of Battersea.</w:t>
      </w:r>
    </w:p>
    <w:p w:rsidR="00D83511" w:rsidRPr="00DA136E" w:rsidRDefault="00D83511" w:rsidP="00DA136E">
      <w:pPr>
        <w:ind w:left="131" w:firstLine="720"/>
        <w:rPr>
          <w:rFonts w:cs="Calibri"/>
          <w:b/>
          <w:color w:val="365F91" w:themeColor="accent1" w:themeShade="BF"/>
          <w:szCs w:val="24"/>
        </w:rPr>
      </w:pPr>
      <w:r w:rsidRPr="00DA136E">
        <w:rPr>
          <w:b/>
          <w:color w:val="365F91" w:themeColor="accent1" w:themeShade="BF"/>
        </w:rPr>
        <w:t>BYV</w:t>
      </w:r>
    </w:p>
    <w:p w:rsidR="003441FE" w:rsidRDefault="004A40BE" w:rsidP="008D69B7">
      <w:pPr>
        <w:pStyle w:val="ListParagraph"/>
        <w:numPr>
          <w:ilvl w:val="1"/>
          <w:numId w:val="50"/>
        </w:numPr>
        <w:spacing w:before="120" w:after="120" w:line="240" w:lineRule="auto"/>
        <w:ind w:left="851" w:hanging="567"/>
        <w:rPr>
          <w:rFonts w:cs="Calibri"/>
          <w:szCs w:val="24"/>
        </w:rPr>
      </w:pPr>
      <w:r>
        <w:rPr>
          <w:rFonts w:cs="Calibri"/>
          <w:szCs w:val="24"/>
        </w:rPr>
        <w:t>The</w:t>
      </w:r>
      <w:r w:rsidR="00C077BE">
        <w:rPr>
          <w:rFonts w:cs="Calibri"/>
          <w:szCs w:val="24"/>
        </w:rPr>
        <w:t xml:space="preserve"> work of BYV, though not directed towards employment outcomes will have a direct bearing on ‘employability’, through the creation of an environment in which young people can develop social skills, build their confidence and self-belief, and ultimately technical skills and knowledge through project planning and delivery that will open up opportunities for educational advancement and potentially the development of social enterprises. </w:t>
      </w:r>
    </w:p>
    <w:p w:rsidR="000F0E5E" w:rsidRPr="00DA136E" w:rsidRDefault="00C37294" w:rsidP="00DA136E">
      <w:pPr>
        <w:ind w:left="131" w:firstLine="720"/>
        <w:rPr>
          <w:b/>
          <w:color w:val="365F91" w:themeColor="accent1" w:themeShade="BF"/>
        </w:rPr>
      </w:pPr>
      <w:r w:rsidRPr="00DA136E">
        <w:rPr>
          <w:b/>
          <w:color w:val="365F91" w:themeColor="accent1" w:themeShade="BF"/>
        </w:rPr>
        <w:t>Volunteer Programme</w:t>
      </w:r>
    </w:p>
    <w:p w:rsidR="003441FE" w:rsidRDefault="00AA5992" w:rsidP="008D69B7">
      <w:pPr>
        <w:pStyle w:val="ListParagraph"/>
        <w:numPr>
          <w:ilvl w:val="1"/>
          <w:numId w:val="50"/>
        </w:numPr>
        <w:spacing w:before="120" w:after="120" w:line="240" w:lineRule="auto"/>
        <w:ind w:left="851" w:hanging="567"/>
        <w:rPr>
          <w:rFonts w:cs="Calibri"/>
          <w:szCs w:val="24"/>
        </w:rPr>
      </w:pPr>
      <w:r>
        <w:rPr>
          <w:rFonts w:cs="Calibri"/>
          <w:szCs w:val="24"/>
        </w:rPr>
        <w:t xml:space="preserve">Ongoing support for up to 130 local volunteers could, in time, </w:t>
      </w:r>
      <w:r w:rsidR="00D87CB2">
        <w:rPr>
          <w:rFonts w:cs="Calibri"/>
          <w:szCs w:val="24"/>
        </w:rPr>
        <w:t>dramatically</w:t>
      </w:r>
      <w:r>
        <w:rPr>
          <w:rFonts w:cs="Calibri"/>
          <w:szCs w:val="24"/>
        </w:rPr>
        <w:t xml:space="preserve"> transform the way that people </w:t>
      </w:r>
      <w:r w:rsidR="00D87CB2">
        <w:rPr>
          <w:rFonts w:cs="Calibri"/>
          <w:szCs w:val="24"/>
        </w:rPr>
        <w:t>relate to a feel about their community.</w:t>
      </w:r>
    </w:p>
    <w:p w:rsidR="000F0E5E" w:rsidRPr="000F0E5E" w:rsidRDefault="000F0E5E" w:rsidP="000F0E5E">
      <w:pPr>
        <w:pStyle w:val="ListParagraph"/>
        <w:rPr>
          <w:rFonts w:cs="Calibri"/>
          <w:szCs w:val="24"/>
        </w:rPr>
      </w:pPr>
    </w:p>
    <w:p w:rsidR="005C4FD7" w:rsidRDefault="002A6B77" w:rsidP="008D69B7">
      <w:pPr>
        <w:pStyle w:val="ListParagraph"/>
        <w:numPr>
          <w:ilvl w:val="1"/>
          <w:numId w:val="50"/>
        </w:numPr>
        <w:spacing w:before="120" w:after="120" w:line="240" w:lineRule="auto"/>
        <w:ind w:left="851" w:hanging="567"/>
        <w:rPr>
          <w:rFonts w:cs="Calibri"/>
          <w:szCs w:val="24"/>
        </w:rPr>
      </w:pPr>
      <w:r>
        <w:rPr>
          <w:rFonts w:cs="Calibri"/>
          <w:szCs w:val="24"/>
        </w:rPr>
        <w:t xml:space="preserve">By 2025 more local people will be active participants in the life of the community, proving safe spaces, developing projects and </w:t>
      </w:r>
      <w:r w:rsidR="00282816">
        <w:rPr>
          <w:rFonts w:cs="Calibri"/>
          <w:szCs w:val="24"/>
        </w:rPr>
        <w:t>supporting relationships that make SW11 the place to be!</w:t>
      </w:r>
    </w:p>
    <w:p w:rsidR="00730E3B" w:rsidRPr="00730E3B" w:rsidRDefault="00730E3B" w:rsidP="00730E3B">
      <w:pPr>
        <w:pStyle w:val="ListParagraph"/>
        <w:rPr>
          <w:rFonts w:cs="Calibri"/>
          <w:szCs w:val="24"/>
        </w:rPr>
      </w:pPr>
    </w:p>
    <w:p w:rsidR="00730E3B" w:rsidRPr="00730E3B" w:rsidRDefault="00730E3B" w:rsidP="00730E3B">
      <w:pPr>
        <w:pStyle w:val="ListParagraph"/>
        <w:spacing w:before="120" w:after="120" w:line="240" w:lineRule="auto"/>
        <w:ind w:left="851"/>
        <w:rPr>
          <w:rFonts w:cs="Calibri"/>
          <w:b/>
          <w:color w:val="365F91" w:themeColor="accent1" w:themeShade="BF"/>
          <w:szCs w:val="24"/>
        </w:rPr>
      </w:pPr>
      <w:r w:rsidRPr="00730E3B">
        <w:rPr>
          <w:rFonts w:cs="Calibri"/>
          <w:b/>
          <w:color w:val="365F91" w:themeColor="accent1" w:themeShade="BF"/>
          <w:szCs w:val="24"/>
        </w:rPr>
        <w:t>The Community Voluntary Sector</w:t>
      </w:r>
    </w:p>
    <w:p w:rsidR="00730E3B" w:rsidRPr="00730E3B" w:rsidRDefault="00730E3B" w:rsidP="00730E3B">
      <w:pPr>
        <w:pStyle w:val="ListParagraph"/>
        <w:rPr>
          <w:rFonts w:cs="Calibri"/>
          <w:szCs w:val="24"/>
        </w:rPr>
      </w:pPr>
    </w:p>
    <w:p w:rsidR="00D87CB2" w:rsidRDefault="00D87CB2" w:rsidP="008D69B7">
      <w:pPr>
        <w:pStyle w:val="ListParagraph"/>
        <w:numPr>
          <w:ilvl w:val="1"/>
          <w:numId w:val="50"/>
        </w:numPr>
        <w:spacing w:before="120" w:after="120" w:line="240" w:lineRule="auto"/>
        <w:ind w:left="851" w:hanging="567"/>
        <w:rPr>
          <w:rFonts w:cs="Calibri"/>
          <w:szCs w:val="24"/>
        </w:rPr>
      </w:pPr>
      <w:r>
        <w:rPr>
          <w:rFonts w:cs="Calibri"/>
          <w:szCs w:val="24"/>
        </w:rPr>
        <w:t>A stronger, better connected, well resourced, community voluntary sector will anticipate and develop responses to</w:t>
      </w:r>
      <w:r w:rsidR="002A6B77">
        <w:rPr>
          <w:rFonts w:cs="Calibri"/>
          <w:szCs w:val="24"/>
        </w:rPr>
        <w:t xml:space="preserve"> the changes associated with urban regeneration.</w:t>
      </w:r>
    </w:p>
    <w:p w:rsidR="00730E3B" w:rsidRDefault="00D87CB2" w:rsidP="00D87CB2">
      <w:pPr>
        <w:pStyle w:val="ListParagraph"/>
        <w:spacing w:before="120" w:after="120" w:line="240" w:lineRule="auto"/>
        <w:ind w:left="851"/>
        <w:rPr>
          <w:rFonts w:cs="Calibri"/>
          <w:szCs w:val="24"/>
        </w:rPr>
      </w:pPr>
      <w:r>
        <w:rPr>
          <w:rFonts w:cs="Calibri"/>
          <w:szCs w:val="24"/>
        </w:rPr>
        <w:t xml:space="preserve"> </w:t>
      </w:r>
    </w:p>
    <w:p w:rsidR="00D87CB2" w:rsidRPr="002A6B77" w:rsidRDefault="002A6B77" w:rsidP="002A6B77">
      <w:pPr>
        <w:pStyle w:val="ListParagraph"/>
        <w:numPr>
          <w:ilvl w:val="1"/>
          <w:numId w:val="50"/>
        </w:numPr>
        <w:spacing w:before="120" w:after="120" w:line="240" w:lineRule="auto"/>
        <w:ind w:left="851" w:hanging="567"/>
        <w:rPr>
          <w:rFonts w:cs="Calibri"/>
          <w:szCs w:val="24"/>
        </w:rPr>
      </w:pPr>
      <w:r>
        <w:rPr>
          <w:rFonts w:cs="Calibri"/>
          <w:szCs w:val="24"/>
        </w:rPr>
        <w:t>By 2025 we will see SW11 as a place that provides effective support and opportunities for local residents and new comers to the area.</w:t>
      </w:r>
    </w:p>
    <w:p w:rsidR="00D87CB2" w:rsidRPr="001B6C45" w:rsidRDefault="00D87CB2" w:rsidP="001B6C45">
      <w:pPr>
        <w:spacing w:before="120" w:after="120" w:line="240" w:lineRule="auto"/>
        <w:rPr>
          <w:rFonts w:cs="Calibri"/>
          <w:szCs w:val="24"/>
        </w:rPr>
      </w:pPr>
    </w:p>
    <w:p w:rsidR="00FC7735" w:rsidRPr="00FC7735" w:rsidRDefault="00FC7735" w:rsidP="00FC7735">
      <w:pPr>
        <w:pStyle w:val="ListParagraph"/>
        <w:spacing w:before="120" w:after="120" w:line="240" w:lineRule="auto"/>
        <w:ind w:left="851"/>
        <w:rPr>
          <w:rFonts w:cs="Calibri"/>
          <w:b/>
          <w:color w:val="365F91" w:themeColor="accent1" w:themeShade="BF"/>
          <w:szCs w:val="24"/>
        </w:rPr>
      </w:pPr>
      <w:r w:rsidRPr="00FC7735">
        <w:rPr>
          <w:rFonts w:cs="Calibri"/>
          <w:b/>
          <w:color w:val="365F91" w:themeColor="accent1" w:themeShade="BF"/>
          <w:szCs w:val="24"/>
        </w:rPr>
        <w:t>Health and Wellbeing, Isolation, Loneliness, Depression and Anxiety</w:t>
      </w:r>
    </w:p>
    <w:p w:rsidR="00FC7735" w:rsidRDefault="00FC7735" w:rsidP="00FC7735">
      <w:pPr>
        <w:pStyle w:val="ListParagraph"/>
        <w:spacing w:before="120" w:after="120" w:line="240" w:lineRule="auto"/>
        <w:ind w:left="851"/>
        <w:rPr>
          <w:rFonts w:cs="Calibri"/>
          <w:szCs w:val="24"/>
        </w:rPr>
      </w:pPr>
    </w:p>
    <w:p w:rsidR="00012EC3" w:rsidRDefault="00012EC3" w:rsidP="008D69B7">
      <w:pPr>
        <w:pStyle w:val="ListParagraph"/>
        <w:numPr>
          <w:ilvl w:val="1"/>
          <w:numId w:val="50"/>
        </w:numPr>
        <w:spacing w:before="120" w:after="120" w:line="240" w:lineRule="auto"/>
        <w:ind w:left="851" w:hanging="567"/>
        <w:rPr>
          <w:rFonts w:cs="Calibri"/>
          <w:szCs w:val="24"/>
        </w:rPr>
      </w:pPr>
      <w:r>
        <w:rPr>
          <w:rFonts w:cs="Calibri"/>
          <w:szCs w:val="24"/>
        </w:rPr>
        <w:t>BLSW11 has higher levels of overcrowding, isolation, loneliness, depression and anxiety than the Borough average.</w:t>
      </w:r>
    </w:p>
    <w:p w:rsidR="001B6C45" w:rsidRDefault="001B6C45" w:rsidP="001B6C45">
      <w:pPr>
        <w:pStyle w:val="ListParagraph"/>
        <w:spacing w:before="120" w:after="120" w:line="240" w:lineRule="auto"/>
        <w:ind w:left="851"/>
        <w:rPr>
          <w:rFonts w:cs="Calibri"/>
          <w:szCs w:val="24"/>
        </w:rPr>
      </w:pPr>
    </w:p>
    <w:p w:rsidR="001B6C45" w:rsidRDefault="002A6B77" w:rsidP="008D69B7">
      <w:pPr>
        <w:pStyle w:val="ListParagraph"/>
        <w:numPr>
          <w:ilvl w:val="1"/>
          <w:numId w:val="50"/>
        </w:numPr>
        <w:spacing w:before="120" w:after="120" w:line="240" w:lineRule="auto"/>
        <w:ind w:left="851" w:hanging="567"/>
        <w:rPr>
          <w:rFonts w:cs="Calibri"/>
          <w:szCs w:val="24"/>
        </w:rPr>
      </w:pPr>
      <w:r>
        <w:rPr>
          <w:rFonts w:cs="Calibri"/>
          <w:szCs w:val="24"/>
        </w:rPr>
        <w:t>Within six years we aim to see significant improvements in all of the main indicators that identify SW11 as an area of deprivation.</w:t>
      </w:r>
    </w:p>
    <w:p w:rsidR="00FC7735" w:rsidRDefault="00012EC3" w:rsidP="00012EC3">
      <w:pPr>
        <w:pStyle w:val="ListParagraph"/>
        <w:spacing w:before="120" w:after="120" w:line="240" w:lineRule="auto"/>
        <w:ind w:left="851"/>
        <w:rPr>
          <w:rFonts w:cs="Calibri"/>
          <w:szCs w:val="24"/>
        </w:rPr>
      </w:pPr>
      <w:r>
        <w:rPr>
          <w:rFonts w:cs="Calibri"/>
          <w:szCs w:val="24"/>
        </w:rPr>
        <w:t xml:space="preserve"> </w:t>
      </w:r>
    </w:p>
    <w:p w:rsidR="00FC7735" w:rsidRPr="00FC7735" w:rsidRDefault="00FC7735" w:rsidP="00FC7735">
      <w:pPr>
        <w:pStyle w:val="ListParagraph"/>
        <w:spacing w:before="120" w:after="120" w:line="240" w:lineRule="auto"/>
        <w:ind w:left="851"/>
        <w:rPr>
          <w:rFonts w:cs="Calibri"/>
          <w:b/>
          <w:color w:val="365F91" w:themeColor="accent1" w:themeShade="BF"/>
          <w:szCs w:val="24"/>
        </w:rPr>
      </w:pPr>
      <w:r w:rsidRPr="00FC7735">
        <w:rPr>
          <w:rFonts w:cs="Calibri"/>
          <w:b/>
          <w:color w:val="365F91" w:themeColor="accent1" w:themeShade="BF"/>
          <w:szCs w:val="24"/>
        </w:rPr>
        <w:t xml:space="preserve">Long Term Unemployment </w:t>
      </w:r>
    </w:p>
    <w:p w:rsidR="00FC7735" w:rsidRDefault="00FC7735" w:rsidP="00E16774">
      <w:pPr>
        <w:pStyle w:val="ListParagraph"/>
        <w:spacing w:before="120" w:after="120" w:line="240" w:lineRule="auto"/>
        <w:ind w:left="851"/>
        <w:rPr>
          <w:rFonts w:cs="Calibri"/>
          <w:szCs w:val="24"/>
        </w:rPr>
      </w:pPr>
    </w:p>
    <w:p w:rsidR="00FC7735" w:rsidRDefault="00E16774" w:rsidP="008D69B7">
      <w:pPr>
        <w:pStyle w:val="ListParagraph"/>
        <w:numPr>
          <w:ilvl w:val="1"/>
          <w:numId w:val="50"/>
        </w:numPr>
        <w:spacing w:before="120" w:after="120" w:line="240" w:lineRule="auto"/>
        <w:ind w:left="851" w:hanging="567"/>
        <w:rPr>
          <w:rFonts w:cs="Calibri"/>
          <w:szCs w:val="24"/>
        </w:rPr>
      </w:pPr>
      <w:r>
        <w:rPr>
          <w:rFonts w:cs="Calibri"/>
          <w:szCs w:val="24"/>
        </w:rPr>
        <w:t xml:space="preserve">BLSW11 has long term unemployment rates that are double that for the Borough of Wandsworth; by removing the barriers to employment and </w:t>
      </w:r>
      <w:r>
        <w:rPr>
          <w:rFonts w:cs="Calibri"/>
          <w:szCs w:val="24"/>
        </w:rPr>
        <w:lastRenderedPageBreak/>
        <w:t>community participation we aim to see this rate</w:t>
      </w:r>
      <w:r w:rsidR="00012EC3">
        <w:rPr>
          <w:rFonts w:cs="Calibri"/>
          <w:szCs w:val="24"/>
        </w:rPr>
        <w:t xml:space="preserve"> reduced to at least the Borough average by 2025.</w:t>
      </w:r>
    </w:p>
    <w:p w:rsidR="000F0E5E" w:rsidRPr="000F0E5E" w:rsidRDefault="000F0E5E" w:rsidP="000F0E5E">
      <w:pPr>
        <w:pStyle w:val="ListParagraph"/>
        <w:rPr>
          <w:rFonts w:cs="Calibri"/>
          <w:szCs w:val="24"/>
        </w:rPr>
      </w:pPr>
    </w:p>
    <w:p w:rsidR="003441FE" w:rsidRPr="00AF4FAD" w:rsidRDefault="006521D9" w:rsidP="008F72C9">
      <w:pPr>
        <w:pStyle w:val="Heading2"/>
        <w:numPr>
          <w:ilvl w:val="0"/>
          <w:numId w:val="50"/>
        </w:numPr>
        <w:ind w:left="709" w:hanging="283"/>
        <w:rPr>
          <w:sz w:val="32"/>
          <w:szCs w:val="32"/>
        </w:rPr>
      </w:pPr>
      <w:r w:rsidRPr="00AF4FAD">
        <w:rPr>
          <w:sz w:val="32"/>
          <w:szCs w:val="32"/>
        </w:rPr>
        <w:t xml:space="preserve"> </w:t>
      </w:r>
      <w:bookmarkStart w:id="4" w:name="_Toc17971672"/>
      <w:r w:rsidR="009F72DD" w:rsidRPr="00AF4FAD">
        <w:rPr>
          <w:sz w:val="32"/>
          <w:szCs w:val="32"/>
        </w:rPr>
        <w:t>Operational Issues and Accountability</w:t>
      </w:r>
      <w:bookmarkEnd w:id="4"/>
    </w:p>
    <w:p w:rsidR="0019494D" w:rsidRPr="009F72DD" w:rsidRDefault="0019494D" w:rsidP="0075151E">
      <w:pPr>
        <w:pStyle w:val="ListParagraph"/>
        <w:spacing w:before="120" w:after="120" w:line="240" w:lineRule="auto"/>
        <w:ind w:left="360"/>
        <w:rPr>
          <w:b/>
          <w:color w:val="365F91" w:themeColor="accent1" w:themeShade="BF"/>
          <w:szCs w:val="24"/>
        </w:rPr>
      </w:pPr>
    </w:p>
    <w:p w:rsidR="005C4FD7" w:rsidRDefault="0019494D" w:rsidP="008D69B7">
      <w:pPr>
        <w:pStyle w:val="ListParagraph"/>
        <w:numPr>
          <w:ilvl w:val="1"/>
          <w:numId w:val="50"/>
        </w:numPr>
        <w:spacing w:before="120" w:after="120" w:line="240" w:lineRule="auto"/>
        <w:ind w:left="851" w:hanging="567"/>
      </w:pPr>
      <w:r>
        <w:t xml:space="preserve">BLSW11 is managed by a </w:t>
      </w:r>
      <w:r w:rsidR="00AF4FAD">
        <w:t xml:space="preserve">£1m </w:t>
      </w:r>
      <w:r>
        <w:t>resident lead voluntary association that is</w:t>
      </w:r>
      <w:r w:rsidR="00AF4FAD">
        <w:t xml:space="preserve"> accountable to the Local Trust. Specific project proposals </w:t>
      </w:r>
      <w:r w:rsidR="00EB01C0">
        <w:t>cited in this report will require the approval of the BLSW11 Partnership Executive.</w:t>
      </w:r>
    </w:p>
    <w:p w:rsidR="000F0E5E" w:rsidRDefault="000F0E5E" w:rsidP="000F0E5E">
      <w:pPr>
        <w:pStyle w:val="ListParagraph"/>
        <w:spacing w:before="120" w:after="120" w:line="240" w:lineRule="auto"/>
        <w:ind w:left="851"/>
      </w:pPr>
    </w:p>
    <w:p w:rsidR="0019494D" w:rsidRDefault="0019494D" w:rsidP="008D69B7">
      <w:pPr>
        <w:pStyle w:val="ListParagraph"/>
        <w:numPr>
          <w:ilvl w:val="1"/>
          <w:numId w:val="50"/>
        </w:numPr>
        <w:spacing w:before="120" w:after="120" w:line="240" w:lineRule="auto"/>
        <w:ind w:left="851" w:hanging="567"/>
      </w:pPr>
      <w:r>
        <w:t>The Alliance is an association of independent local organisations</w:t>
      </w:r>
      <w:r w:rsidR="00AF4FAD">
        <w:t xml:space="preserve"> that has agreed a joint strateg</w:t>
      </w:r>
      <w:r w:rsidR="00EB01C0">
        <w:t>y and Memorandum of Understanding.</w:t>
      </w:r>
    </w:p>
    <w:p w:rsidR="0039403E" w:rsidRDefault="0039403E" w:rsidP="000F0E5E">
      <w:pPr>
        <w:pStyle w:val="ListParagraph"/>
        <w:spacing w:before="120" w:after="120" w:line="240" w:lineRule="auto"/>
        <w:ind w:left="851"/>
      </w:pPr>
    </w:p>
    <w:p w:rsidR="00085EE5" w:rsidRDefault="00EB01C0" w:rsidP="008D69B7">
      <w:pPr>
        <w:pStyle w:val="ListParagraph"/>
        <w:numPr>
          <w:ilvl w:val="1"/>
          <w:numId w:val="50"/>
        </w:numPr>
        <w:spacing w:before="120" w:after="120" w:line="240" w:lineRule="auto"/>
        <w:ind w:left="851" w:hanging="567"/>
      </w:pPr>
      <w:r>
        <w:t xml:space="preserve">St Peter’s Church has agreed, in principle, to the Alliance running its strategic operations (housing staff, etc) from </w:t>
      </w:r>
      <w:r w:rsidR="008F72C9">
        <w:t>its</w:t>
      </w:r>
      <w:r>
        <w:t xml:space="preserve"> offices.</w:t>
      </w:r>
    </w:p>
    <w:p w:rsidR="008F72C9" w:rsidRDefault="008F72C9" w:rsidP="008F72C9">
      <w:pPr>
        <w:pStyle w:val="ListParagraph"/>
      </w:pPr>
    </w:p>
    <w:p w:rsidR="008F72C9" w:rsidRDefault="008F72C9" w:rsidP="008D69B7">
      <w:pPr>
        <w:pStyle w:val="ListParagraph"/>
        <w:numPr>
          <w:ilvl w:val="1"/>
          <w:numId w:val="50"/>
        </w:numPr>
        <w:spacing w:before="120" w:after="120" w:line="240" w:lineRule="auto"/>
        <w:ind w:left="851" w:hanging="567"/>
      </w:pPr>
      <w:r>
        <w:t>Carney’s Community has agreed in principle to manage the Youth Development Worker role and KLS has agreed in principle to manage the Volunteer Coordination post.</w:t>
      </w:r>
    </w:p>
    <w:p w:rsidR="00D2730C" w:rsidRDefault="00D2730C" w:rsidP="00D2730C">
      <w:pPr>
        <w:pStyle w:val="ListParagraph"/>
      </w:pPr>
    </w:p>
    <w:p w:rsidR="00D2730C" w:rsidRDefault="00D2730C" w:rsidP="008D69B7">
      <w:pPr>
        <w:pStyle w:val="ListParagraph"/>
        <w:numPr>
          <w:ilvl w:val="1"/>
          <w:numId w:val="50"/>
        </w:numPr>
        <w:spacing w:before="120" w:after="120" w:line="240" w:lineRule="auto"/>
        <w:ind w:left="851" w:hanging="567"/>
      </w:pPr>
      <w:r>
        <w:t>BLSW11 has established and will maintain an oversight and scrutiny function to ensure that its investments are geared towards the delivery of its Strategy.</w:t>
      </w:r>
    </w:p>
    <w:p w:rsidR="00EB01C0" w:rsidRDefault="00EB01C0" w:rsidP="00EB01C0">
      <w:pPr>
        <w:pStyle w:val="ListParagraph"/>
      </w:pPr>
    </w:p>
    <w:p w:rsidR="00EB01C0" w:rsidRDefault="00EB01C0" w:rsidP="00EB01C0">
      <w:pPr>
        <w:spacing w:before="120" w:after="120" w:line="240" w:lineRule="auto"/>
      </w:pPr>
    </w:p>
    <w:p w:rsidR="00EB01C0" w:rsidRDefault="00EB01C0" w:rsidP="00EB01C0">
      <w:pPr>
        <w:spacing w:before="120" w:after="120" w:line="240" w:lineRule="auto"/>
      </w:pPr>
    </w:p>
    <w:p w:rsidR="00EB01C0" w:rsidRDefault="00EB01C0" w:rsidP="00EB01C0">
      <w:pPr>
        <w:spacing w:before="120" w:after="120" w:line="240" w:lineRule="auto"/>
      </w:pPr>
    </w:p>
    <w:p w:rsidR="00EB01C0" w:rsidRDefault="00EB01C0" w:rsidP="00EB01C0">
      <w:pPr>
        <w:spacing w:before="120" w:after="120" w:line="240" w:lineRule="auto"/>
      </w:pPr>
    </w:p>
    <w:p w:rsidR="00EB01C0" w:rsidRPr="0039403E" w:rsidRDefault="00EB01C0" w:rsidP="00EB01C0">
      <w:pPr>
        <w:spacing w:before="120" w:after="120" w:line="240" w:lineRule="auto"/>
      </w:pPr>
    </w:p>
    <w:p w:rsidR="00517E43" w:rsidRPr="009F72DD" w:rsidRDefault="00517E43" w:rsidP="0075151E">
      <w:pPr>
        <w:pStyle w:val="ListParagraph"/>
        <w:spacing w:before="120" w:after="120" w:line="240" w:lineRule="auto"/>
        <w:rPr>
          <w:rFonts w:cs="Calibri"/>
          <w:szCs w:val="24"/>
        </w:rPr>
      </w:pPr>
    </w:p>
    <w:p w:rsidR="00F4663A" w:rsidRPr="0019494D" w:rsidRDefault="00F4663A" w:rsidP="0075151E">
      <w:pPr>
        <w:spacing w:before="120" w:after="120" w:line="240" w:lineRule="auto"/>
        <w:rPr>
          <w:rFonts w:cs="Calibri"/>
          <w:szCs w:val="24"/>
        </w:rPr>
      </w:pPr>
    </w:p>
    <w:p w:rsidR="003441FE" w:rsidRPr="009F72DD" w:rsidRDefault="003441FE" w:rsidP="0075151E">
      <w:pPr>
        <w:pStyle w:val="NoSpacing"/>
        <w:spacing w:before="120" w:after="120"/>
        <w:rPr>
          <w:rFonts w:cs="Calibri"/>
          <w:szCs w:val="24"/>
        </w:rPr>
      </w:pPr>
      <w:r w:rsidRPr="009F72DD">
        <w:rPr>
          <w:szCs w:val="24"/>
        </w:rPr>
        <w:t xml:space="preserve">David Stone </w:t>
      </w:r>
      <w:r w:rsidRPr="009F72DD">
        <w:rPr>
          <w:szCs w:val="24"/>
        </w:rPr>
        <w:tab/>
      </w:r>
      <w:r w:rsidRPr="009F72DD">
        <w:rPr>
          <w:szCs w:val="24"/>
        </w:rPr>
        <w:tab/>
      </w:r>
      <w:r w:rsidRPr="009F72DD">
        <w:rPr>
          <w:szCs w:val="24"/>
        </w:rPr>
        <w:tab/>
        <w:t xml:space="preserve">07950 013 153 </w:t>
      </w:r>
    </w:p>
    <w:p w:rsidR="003441FE" w:rsidRPr="009F72DD" w:rsidRDefault="003441FE" w:rsidP="0075151E">
      <w:pPr>
        <w:pStyle w:val="NoSpacing"/>
        <w:spacing w:before="120" w:after="120"/>
        <w:rPr>
          <w:szCs w:val="24"/>
        </w:rPr>
      </w:pPr>
      <w:r w:rsidRPr="009F72DD">
        <w:rPr>
          <w:szCs w:val="24"/>
        </w:rPr>
        <w:t xml:space="preserve">BLW11 Coordinator </w:t>
      </w:r>
      <w:r w:rsidRPr="009F72DD">
        <w:rPr>
          <w:szCs w:val="24"/>
        </w:rPr>
        <w:tab/>
      </w:r>
      <w:r w:rsidRPr="009F72DD">
        <w:rPr>
          <w:szCs w:val="24"/>
        </w:rPr>
        <w:tab/>
      </w:r>
      <w:hyperlink r:id="rId16" w:history="1">
        <w:r w:rsidRPr="009F72DD">
          <w:rPr>
            <w:rStyle w:val="Hyperlink"/>
            <w:rFonts w:cs="Calibri"/>
            <w:szCs w:val="24"/>
          </w:rPr>
          <w:t>david@biglocalsw11.co.uk</w:t>
        </w:r>
      </w:hyperlink>
      <w:r w:rsidRPr="009F72DD">
        <w:rPr>
          <w:rFonts w:cs="Calibri"/>
          <w:szCs w:val="24"/>
        </w:rPr>
        <w:t xml:space="preserve"> </w:t>
      </w:r>
    </w:p>
    <w:p w:rsidR="003441FE" w:rsidRDefault="003441FE" w:rsidP="0075151E">
      <w:pPr>
        <w:spacing w:before="120" w:after="120" w:line="240" w:lineRule="auto"/>
        <w:rPr>
          <w:rFonts w:cs="Calibri"/>
          <w:color w:val="3366FF"/>
          <w:szCs w:val="24"/>
        </w:rPr>
      </w:pPr>
      <w:r w:rsidRPr="009F72DD">
        <w:rPr>
          <w:rFonts w:cs="Calibri"/>
          <w:szCs w:val="24"/>
        </w:rPr>
        <w:t xml:space="preserve">Big Local SW11 </w:t>
      </w:r>
      <w:r w:rsidRPr="009F72DD">
        <w:rPr>
          <w:rFonts w:cs="Calibri"/>
          <w:szCs w:val="24"/>
        </w:rPr>
        <w:tab/>
      </w:r>
      <w:r w:rsidRPr="009F72DD">
        <w:rPr>
          <w:rFonts w:cs="Calibri"/>
          <w:szCs w:val="24"/>
        </w:rPr>
        <w:tab/>
      </w:r>
      <w:r w:rsidR="00DB151C" w:rsidRPr="009F72DD">
        <w:rPr>
          <w:rFonts w:cs="Calibri"/>
          <w:szCs w:val="24"/>
        </w:rPr>
        <w:tab/>
      </w:r>
      <w:hyperlink r:id="rId17" w:history="1">
        <w:r w:rsidR="00DB151C" w:rsidRPr="009F72DD">
          <w:rPr>
            <w:rStyle w:val="Hyperlink"/>
            <w:rFonts w:cs="Calibri"/>
            <w:color w:val="3366FF"/>
            <w:szCs w:val="24"/>
          </w:rPr>
          <w:t>www.biglocalsw11.co.uk</w:t>
        </w:r>
      </w:hyperlink>
      <w:r w:rsidR="00DB151C" w:rsidRPr="009F72DD">
        <w:rPr>
          <w:rFonts w:cs="Calibri"/>
          <w:color w:val="3366FF"/>
          <w:szCs w:val="24"/>
        </w:rPr>
        <w:t xml:space="preserve"> </w:t>
      </w:r>
    </w:p>
    <w:p w:rsidR="00C233E6" w:rsidRDefault="00C233E6" w:rsidP="00C233E6">
      <w:pPr>
        <w:spacing w:before="120" w:after="120" w:line="240" w:lineRule="auto"/>
        <w:rPr>
          <w:rFonts w:cs="Calibri"/>
          <w:szCs w:val="24"/>
        </w:rPr>
      </w:pPr>
    </w:p>
    <w:p w:rsidR="00C233E6" w:rsidRPr="00E724DC" w:rsidRDefault="002164B5" w:rsidP="00C233E6">
      <w:pPr>
        <w:spacing w:before="120" w:after="120" w:line="240" w:lineRule="auto"/>
        <w:rPr>
          <w:rFonts w:cs="Calibri"/>
          <w:color w:val="3366FF"/>
          <w:szCs w:val="24"/>
          <w:lang w:val="fr-FR"/>
        </w:rPr>
      </w:pPr>
      <w:r w:rsidRPr="002164B5">
        <w:rPr>
          <w:rFonts w:cs="Calibri"/>
          <w:szCs w:val="24"/>
          <w:lang w:val="fr-FR"/>
        </w:rPr>
        <w:t>Aaron Barbour</w:t>
      </w:r>
      <w:r w:rsidRPr="002164B5">
        <w:rPr>
          <w:rFonts w:cs="Calibri"/>
          <w:szCs w:val="24"/>
          <w:lang w:val="fr-FR"/>
        </w:rPr>
        <w:tab/>
      </w:r>
      <w:r w:rsidRPr="002164B5">
        <w:rPr>
          <w:rFonts w:cs="Calibri"/>
          <w:szCs w:val="24"/>
          <w:lang w:val="fr-FR"/>
        </w:rPr>
        <w:tab/>
      </w:r>
      <w:r w:rsidRPr="002164B5">
        <w:rPr>
          <w:rFonts w:cs="Calibri"/>
          <w:szCs w:val="24"/>
          <w:lang w:val="fr-FR"/>
        </w:rPr>
        <w:tab/>
      </w:r>
      <w:r w:rsidR="00DA249B">
        <w:rPr>
          <w:rFonts w:cs="Calibri"/>
          <w:szCs w:val="24"/>
          <w:lang w:val="fr-FR"/>
        </w:rPr>
        <w:t>020 7223 2845</w:t>
      </w:r>
    </w:p>
    <w:p w:rsidR="00C233E6" w:rsidRPr="00E724DC" w:rsidRDefault="002164B5" w:rsidP="0075151E">
      <w:pPr>
        <w:spacing w:before="120" w:after="120" w:line="240" w:lineRule="auto"/>
        <w:rPr>
          <w:rFonts w:cs="Calibri"/>
          <w:szCs w:val="24"/>
          <w:lang w:val="fr-FR"/>
        </w:rPr>
      </w:pPr>
      <w:r w:rsidRPr="002164B5">
        <w:rPr>
          <w:rFonts w:cs="Calibri"/>
          <w:szCs w:val="24"/>
          <w:lang w:val="fr-FR"/>
        </w:rPr>
        <w:t>CEO</w:t>
      </w:r>
      <w:r w:rsidRPr="002164B5">
        <w:rPr>
          <w:rFonts w:cs="Calibri"/>
          <w:szCs w:val="24"/>
          <w:lang w:val="fr-FR"/>
        </w:rPr>
        <w:tab/>
      </w:r>
      <w:r w:rsidRPr="002164B5">
        <w:rPr>
          <w:rFonts w:cs="Calibri"/>
          <w:szCs w:val="24"/>
          <w:lang w:val="fr-FR"/>
        </w:rPr>
        <w:tab/>
      </w:r>
      <w:r w:rsidRPr="002164B5">
        <w:rPr>
          <w:rFonts w:cs="Calibri"/>
          <w:szCs w:val="24"/>
          <w:lang w:val="fr-FR"/>
        </w:rPr>
        <w:tab/>
      </w:r>
      <w:r w:rsidRPr="002164B5">
        <w:rPr>
          <w:rFonts w:cs="Calibri"/>
          <w:szCs w:val="24"/>
          <w:lang w:val="fr-FR"/>
        </w:rPr>
        <w:tab/>
      </w:r>
      <w:r w:rsidRPr="002164B5">
        <w:rPr>
          <w:rFonts w:cs="Calibri"/>
          <w:szCs w:val="24"/>
          <w:lang w:val="fr-FR"/>
        </w:rPr>
        <w:tab/>
      </w:r>
      <w:hyperlink r:id="rId18" w:history="1">
        <w:r w:rsidRPr="002164B5">
          <w:rPr>
            <w:rStyle w:val="Hyperlink"/>
            <w:rFonts w:cs="Calibri"/>
            <w:szCs w:val="24"/>
            <w:lang w:val="fr-FR"/>
          </w:rPr>
          <w:t>aaron@klsettlement.org.uk</w:t>
        </w:r>
      </w:hyperlink>
      <w:r w:rsidRPr="002164B5">
        <w:rPr>
          <w:rFonts w:cs="Calibri"/>
          <w:szCs w:val="24"/>
          <w:lang w:val="fr-FR"/>
        </w:rPr>
        <w:tab/>
      </w:r>
      <w:r w:rsidRPr="002164B5">
        <w:rPr>
          <w:rFonts w:cs="Calibri"/>
          <w:szCs w:val="24"/>
          <w:lang w:val="fr-FR"/>
        </w:rPr>
        <w:tab/>
      </w:r>
      <w:r w:rsidRPr="002164B5">
        <w:rPr>
          <w:rFonts w:cs="Calibri"/>
          <w:szCs w:val="24"/>
          <w:lang w:val="fr-FR"/>
        </w:rPr>
        <w:tab/>
      </w:r>
    </w:p>
    <w:p w:rsidR="00C233E6" w:rsidRPr="00C233E6" w:rsidRDefault="00C233E6" w:rsidP="0075151E">
      <w:pPr>
        <w:spacing w:before="120" w:after="120" w:line="240" w:lineRule="auto"/>
        <w:rPr>
          <w:rFonts w:cs="Calibri"/>
          <w:szCs w:val="24"/>
        </w:rPr>
      </w:pPr>
      <w:r>
        <w:rPr>
          <w:rFonts w:cs="Calibri"/>
          <w:szCs w:val="24"/>
        </w:rPr>
        <w:t>Katherine Low Settlement</w:t>
      </w:r>
      <w:r>
        <w:rPr>
          <w:rFonts w:cs="Calibri"/>
          <w:szCs w:val="24"/>
        </w:rPr>
        <w:tab/>
      </w:r>
      <w:hyperlink r:id="rId19" w:history="1">
        <w:r w:rsidR="00C901F1">
          <w:rPr>
            <w:rStyle w:val="Hyperlink"/>
          </w:rPr>
          <w:t>www.klsettlement.org.uk</w:t>
        </w:r>
      </w:hyperlink>
    </w:p>
    <w:p w:rsidR="009F72DD" w:rsidRDefault="00AB28C5" w:rsidP="0075151E">
      <w:pPr>
        <w:spacing w:before="120" w:after="120" w:line="240" w:lineRule="auto"/>
        <w:rPr>
          <w:rFonts w:ascii="Calibri" w:hAnsi="Calibri" w:cs="Calibri"/>
          <w:sz w:val="22"/>
        </w:rPr>
      </w:pPr>
      <w:r w:rsidRPr="004E703B">
        <w:rPr>
          <w:rFonts w:ascii="Calibri" w:hAnsi="Calibri" w:cs="Calibri"/>
          <w:sz w:val="22"/>
        </w:rPr>
        <w:t xml:space="preserve"> </w:t>
      </w:r>
    </w:p>
    <w:p w:rsidR="009F72DD" w:rsidRDefault="009F72DD" w:rsidP="0075151E">
      <w:pPr>
        <w:spacing w:before="120" w:after="120" w:line="240" w:lineRule="auto"/>
        <w:rPr>
          <w:rFonts w:ascii="Calibri" w:hAnsi="Calibri" w:cs="Calibri"/>
          <w:sz w:val="22"/>
        </w:rPr>
      </w:pPr>
      <w:r>
        <w:rPr>
          <w:rFonts w:ascii="Calibri" w:hAnsi="Calibri" w:cs="Calibri"/>
          <w:sz w:val="22"/>
        </w:rPr>
        <w:br w:type="page"/>
      </w:r>
    </w:p>
    <w:p w:rsidR="009F72DD" w:rsidRPr="00125435" w:rsidRDefault="009F72DD" w:rsidP="0075151E">
      <w:pPr>
        <w:pStyle w:val="Heading2"/>
        <w:spacing w:before="120" w:after="120" w:line="240" w:lineRule="auto"/>
        <w:rPr>
          <w:rFonts w:ascii="Verdana" w:hAnsi="Verdana"/>
          <w:sz w:val="24"/>
          <w:szCs w:val="24"/>
        </w:rPr>
      </w:pPr>
      <w:bookmarkStart w:id="5" w:name="_Toc17971673"/>
      <w:r w:rsidRPr="00125435">
        <w:rPr>
          <w:rFonts w:ascii="Verdana" w:hAnsi="Verdana"/>
          <w:sz w:val="24"/>
          <w:szCs w:val="24"/>
        </w:rPr>
        <w:lastRenderedPageBreak/>
        <w:t>Appendix</w:t>
      </w:r>
      <w:r w:rsidR="00071FB4">
        <w:rPr>
          <w:rFonts w:ascii="Verdana" w:hAnsi="Verdana"/>
          <w:sz w:val="24"/>
          <w:szCs w:val="24"/>
        </w:rPr>
        <w:t xml:space="preserve"> </w:t>
      </w:r>
      <w:r w:rsidRPr="00125435">
        <w:rPr>
          <w:rFonts w:ascii="Verdana" w:hAnsi="Verdana"/>
          <w:sz w:val="24"/>
          <w:szCs w:val="24"/>
        </w:rPr>
        <w:t>1: Battersea Youth Voice</w:t>
      </w:r>
      <w:bookmarkEnd w:id="5"/>
    </w:p>
    <w:p w:rsidR="009F72DD" w:rsidRDefault="009F72DD" w:rsidP="0075151E">
      <w:pPr>
        <w:spacing w:before="120" w:after="120" w:line="240" w:lineRule="auto"/>
      </w:pP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t>What the Alliance aims to do:</w:t>
      </w:r>
    </w:p>
    <w:p w:rsidR="009F72DD" w:rsidRDefault="009F72DD" w:rsidP="0075151E">
      <w:pPr>
        <w:pStyle w:val="ListParagraph"/>
        <w:numPr>
          <w:ilvl w:val="0"/>
          <w:numId w:val="27"/>
        </w:numPr>
        <w:spacing w:before="120" w:after="120" w:line="240" w:lineRule="auto"/>
      </w:pPr>
      <w:r w:rsidRPr="001F4C2E">
        <w:t xml:space="preserve">Planning on joint projects to address </w:t>
      </w:r>
      <w:r>
        <w:t xml:space="preserve">issues such as </w:t>
      </w:r>
      <w:r w:rsidRPr="001F4C2E">
        <w:t>Healt</w:t>
      </w:r>
      <w:r>
        <w:t xml:space="preserve">h, Mental Health (particularly Depression and Anxiety, overcrowding and </w:t>
      </w:r>
      <w:r w:rsidRPr="001F4C2E">
        <w:t>isolation</w:t>
      </w:r>
      <w:r>
        <w:t xml:space="preserve"> and transitional work</w:t>
      </w:r>
      <w:r w:rsidRPr="001F4C2E">
        <w:t>.</w:t>
      </w:r>
      <w:r>
        <w:t xml:space="preserve">  They will do this through:</w:t>
      </w:r>
    </w:p>
    <w:p w:rsidR="009F72DD" w:rsidRDefault="009F72DD" w:rsidP="0075151E">
      <w:pPr>
        <w:pStyle w:val="ListParagraph"/>
        <w:numPr>
          <w:ilvl w:val="1"/>
          <w:numId w:val="27"/>
        </w:numPr>
        <w:spacing w:before="120" w:after="120" w:line="240" w:lineRule="auto"/>
      </w:pPr>
      <w:r>
        <w:t>Battersea Youth Voice (BYV)</w:t>
      </w:r>
    </w:p>
    <w:p w:rsidR="009F72DD" w:rsidRDefault="009F72DD" w:rsidP="0075151E">
      <w:pPr>
        <w:pStyle w:val="ListParagraph"/>
        <w:numPr>
          <w:ilvl w:val="1"/>
          <w:numId w:val="27"/>
        </w:numPr>
        <w:spacing w:before="120" w:after="120" w:line="240" w:lineRule="auto"/>
      </w:pPr>
      <w:r>
        <w:t>Research</w:t>
      </w:r>
    </w:p>
    <w:p w:rsidR="009F72DD" w:rsidRDefault="009F72DD" w:rsidP="0075151E">
      <w:pPr>
        <w:pStyle w:val="ListParagraph"/>
        <w:numPr>
          <w:ilvl w:val="1"/>
          <w:numId w:val="27"/>
        </w:numPr>
        <w:spacing w:before="120" w:after="120" w:line="240" w:lineRule="auto"/>
      </w:pPr>
      <w:r>
        <w:t>Capacity building</w:t>
      </w:r>
    </w:p>
    <w:p w:rsidR="009F72DD" w:rsidRDefault="009F72DD" w:rsidP="0075151E">
      <w:pPr>
        <w:pStyle w:val="ListParagraph"/>
        <w:numPr>
          <w:ilvl w:val="1"/>
          <w:numId w:val="27"/>
        </w:numPr>
        <w:spacing w:before="120" w:after="120" w:line="240" w:lineRule="auto"/>
      </w:pPr>
      <w:r>
        <w:t>Skills development</w:t>
      </w: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t>Why the Youth Voice:</w:t>
      </w:r>
    </w:p>
    <w:p w:rsidR="009F72DD" w:rsidRDefault="009F72DD" w:rsidP="0075151E">
      <w:pPr>
        <w:pStyle w:val="ListParagraph"/>
        <w:numPr>
          <w:ilvl w:val="0"/>
          <w:numId w:val="27"/>
        </w:numPr>
        <w:spacing w:before="120" w:after="120" w:line="240" w:lineRule="auto"/>
      </w:pPr>
      <w:r>
        <w:t>To focus on more excluded/ unrepresented young people</w:t>
      </w:r>
    </w:p>
    <w:p w:rsidR="009F72DD" w:rsidRDefault="009F72DD" w:rsidP="0075151E">
      <w:pPr>
        <w:pStyle w:val="ListParagraph"/>
        <w:numPr>
          <w:ilvl w:val="0"/>
          <w:numId w:val="27"/>
        </w:numPr>
        <w:spacing w:before="120" w:after="120" w:line="240" w:lineRule="auto"/>
      </w:pPr>
      <w:r>
        <w:t>Able to build bridges/contacts across communities</w:t>
      </w:r>
    </w:p>
    <w:p w:rsidR="009F72DD" w:rsidRDefault="009F72DD" w:rsidP="0075151E">
      <w:pPr>
        <w:pStyle w:val="ListParagraph"/>
        <w:numPr>
          <w:ilvl w:val="0"/>
          <w:numId w:val="27"/>
        </w:numPr>
        <w:spacing w:before="120" w:after="120" w:line="240" w:lineRule="auto"/>
      </w:pPr>
      <w:r>
        <w:t xml:space="preserve">Link with families and wider kinships </w:t>
      </w:r>
    </w:p>
    <w:p w:rsidR="009F72DD" w:rsidRDefault="009F72DD" w:rsidP="0075151E">
      <w:pPr>
        <w:pStyle w:val="ListParagraph"/>
        <w:numPr>
          <w:ilvl w:val="0"/>
          <w:numId w:val="27"/>
        </w:numPr>
        <w:spacing w:before="120" w:after="120" w:line="240" w:lineRule="auto"/>
      </w:pPr>
      <w:r>
        <w:t>We want our work to be youth driven and NEED the opinions of those that are experiencing and witnessing the issues that have a negative impact on the local community.</w:t>
      </w:r>
    </w:p>
    <w:p w:rsidR="009F72DD" w:rsidRDefault="009F72DD" w:rsidP="0075151E">
      <w:pPr>
        <w:pStyle w:val="ListParagraph"/>
        <w:numPr>
          <w:ilvl w:val="0"/>
          <w:numId w:val="27"/>
        </w:numPr>
        <w:spacing w:before="120" w:after="120" w:line="240" w:lineRule="auto"/>
      </w:pPr>
      <w:r>
        <w:t>Young people are the future of our community; future civic leaders</w:t>
      </w: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t>What it will look like:</w:t>
      </w:r>
    </w:p>
    <w:p w:rsidR="009F72DD" w:rsidRDefault="009F72DD" w:rsidP="0075151E">
      <w:pPr>
        <w:pStyle w:val="ListParagraph"/>
        <w:numPr>
          <w:ilvl w:val="0"/>
          <w:numId w:val="27"/>
        </w:numPr>
        <w:spacing w:before="120" w:after="120" w:line="240" w:lineRule="auto"/>
      </w:pPr>
      <w:r>
        <w:t xml:space="preserve">Needs to not be a gimmick but should be meaningful and we need to ensure we are not overly influencing the group – empowerment within a context </w:t>
      </w:r>
    </w:p>
    <w:p w:rsidR="009F72DD" w:rsidRDefault="009F72DD" w:rsidP="0075151E">
      <w:pPr>
        <w:pStyle w:val="ListParagraph"/>
        <w:numPr>
          <w:ilvl w:val="0"/>
          <w:numId w:val="27"/>
        </w:numPr>
        <w:spacing w:before="120" w:after="120" w:line="240" w:lineRule="auto"/>
      </w:pPr>
      <w:r>
        <w:t xml:space="preserve">Open to all but targeting marginalised and underrepresented young people, so may mean thinking about different types of engagement. Could involve regular meetings or events but based around specific topics or themes or with a specific goal around consultation.  </w:t>
      </w:r>
    </w:p>
    <w:p w:rsidR="009F72DD" w:rsidRDefault="009F72DD" w:rsidP="0075151E">
      <w:pPr>
        <w:pStyle w:val="ListParagraph"/>
        <w:numPr>
          <w:ilvl w:val="0"/>
          <w:numId w:val="27"/>
        </w:numPr>
        <w:spacing w:before="120" w:after="120" w:line="240" w:lineRule="auto"/>
      </w:pPr>
      <w:r>
        <w:t>Age ideally 16-25 as they will then have lived experience and there is not much for 18-25 year olds.</w:t>
      </w:r>
    </w:p>
    <w:p w:rsidR="009F72DD" w:rsidRDefault="009F72DD" w:rsidP="0075151E">
      <w:pPr>
        <w:pStyle w:val="ListParagraph"/>
        <w:numPr>
          <w:ilvl w:val="0"/>
          <w:numId w:val="27"/>
        </w:numPr>
        <w:spacing w:before="120" w:after="120" w:line="240" w:lineRule="auto"/>
      </w:pPr>
      <w:r>
        <w:t>Probably try and get 10-15 young people on board (but remembering there will be some that drop out).</w:t>
      </w:r>
    </w:p>
    <w:p w:rsidR="009F72DD" w:rsidRDefault="009F72DD" w:rsidP="0075151E">
      <w:pPr>
        <w:pStyle w:val="ListParagraph"/>
        <w:numPr>
          <w:ilvl w:val="0"/>
          <w:numId w:val="27"/>
        </w:numPr>
        <w:spacing w:before="120" w:after="120" w:line="240" w:lineRule="auto"/>
      </w:pPr>
      <w:r>
        <w:t>There would be a core group, but also sub groups and even doing one to one work with some young people, who may not be comfortable in a group.  There is also the option to have some virtual meetings using Vroom (an app that puts all parties on a single screen to discuss topics)</w:t>
      </w:r>
    </w:p>
    <w:p w:rsidR="009F72DD" w:rsidRDefault="009F72DD" w:rsidP="0075151E">
      <w:pPr>
        <w:pStyle w:val="ListParagraph"/>
        <w:numPr>
          <w:ilvl w:val="0"/>
          <w:numId w:val="27"/>
        </w:numPr>
        <w:spacing w:before="120" w:after="120" w:line="240" w:lineRule="auto"/>
      </w:pPr>
      <w:r>
        <w:t>The members of the Youth Voice would act as consultants, so would get paid or given other incentives.  However, concerns over payment are what will they spend the money on, so we need to discuss what we all feel is the best option)</w:t>
      </w:r>
    </w:p>
    <w:p w:rsidR="009F72DD" w:rsidRDefault="009F72DD" w:rsidP="0075151E">
      <w:pPr>
        <w:pStyle w:val="ListParagraph"/>
        <w:numPr>
          <w:ilvl w:val="0"/>
          <w:numId w:val="27"/>
        </w:numPr>
        <w:spacing w:before="120" w:after="120" w:line="240" w:lineRule="auto"/>
      </w:pPr>
      <w:r>
        <w:t>Team bonding would be necessary for most of the group, so activities, meetings and a residential should be planned.  Ideally get the residential done ASAP and the Scout centre has been recommended as it will provide relevant training to the young people</w:t>
      </w:r>
    </w:p>
    <w:p w:rsidR="009F72DD" w:rsidRDefault="009F72DD" w:rsidP="0075151E">
      <w:pPr>
        <w:pStyle w:val="ListParagraph"/>
        <w:numPr>
          <w:ilvl w:val="0"/>
          <w:numId w:val="27"/>
        </w:numPr>
        <w:spacing w:before="120" w:after="120" w:line="240" w:lineRule="auto"/>
      </w:pPr>
      <w:r>
        <w:t xml:space="preserve">Ideally we would like it to involve some form of accreditation, this could be one of the Alliance setting up as an AQA accredited centre or linking in with Jack </w:t>
      </w:r>
      <w:proofErr w:type="spellStart"/>
      <w:r>
        <w:t>Petchey</w:t>
      </w:r>
      <w:proofErr w:type="spellEnd"/>
      <w:r>
        <w:t xml:space="preserve"> and/or </w:t>
      </w:r>
      <w:proofErr w:type="spellStart"/>
      <w:r>
        <w:t>DofE</w:t>
      </w:r>
      <w:proofErr w:type="spellEnd"/>
      <w:r>
        <w:t xml:space="preserve">. </w:t>
      </w:r>
    </w:p>
    <w:p w:rsidR="009F72DD" w:rsidRPr="00F244A0" w:rsidRDefault="009F72DD" w:rsidP="0075151E">
      <w:pPr>
        <w:pStyle w:val="ListParagraph"/>
        <w:numPr>
          <w:ilvl w:val="0"/>
          <w:numId w:val="27"/>
        </w:numPr>
        <w:spacing w:before="120" w:after="120" w:line="240" w:lineRule="auto"/>
      </w:pPr>
      <w:r w:rsidRPr="00F244A0">
        <w:lastRenderedPageBreak/>
        <w:t>The group would feed back to the Alliance, but hopefully also to the council, CCG and NHS as well</w:t>
      </w:r>
    </w:p>
    <w:p w:rsidR="009F72DD" w:rsidRDefault="009F72DD" w:rsidP="0075151E">
      <w:pPr>
        <w:pStyle w:val="ListParagraph"/>
        <w:numPr>
          <w:ilvl w:val="0"/>
          <w:numId w:val="27"/>
        </w:numPr>
        <w:spacing w:before="120" w:after="120" w:line="240" w:lineRule="auto"/>
      </w:pPr>
      <w:r>
        <w:t>We should look at the big topics, but also initially aim to get some small wins to help encourage them. Establish a BYV budget to support project ideas</w:t>
      </w:r>
    </w:p>
    <w:p w:rsidR="009F72DD" w:rsidRDefault="009F72DD" w:rsidP="0075151E">
      <w:pPr>
        <w:pStyle w:val="ListParagraph"/>
        <w:numPr>
          <w:ilvl w:val="0"/>
          <w:numId w:val="27"/>
        </w:numPr>
        <w:spacing w:before="120" w:after="120" w:line="240" w:lineRule="auto"/>
      </w:pPr>
      <w:r w:rsidRPr="00F244A0">
        <w:t>We need to be really clear about what we want the group to achieve and ensure we highlight what they do achieve.  We should have a baseline assessment for all of those in the group, to monitor their development</w:t>
      </w:r>
    </w:p>
    <w:p w:rsidR="009F72DD" w:rsidRDefault="009F72DD" w:rsidP="0075151E">
      <w:pPr>
        <w:pStyle w:val="ListParagraph"/>
        <w:numPr>
          <w:ilvl w:val="0"/>
          <w:numId w:val="27"/>
        </w:numPr>
        <w:spacing w:before="120" w:after="120" w:line="240" w:lineRule="auto"/>
      </w:pPr>
      <w:r>
        <w:t>Establish the role of BYV within the broader Alliance strategy</w:t>
      </w:r>
    </w:p>
    <w:p w:rsidR="009F72DD" w:rsidRPr="00DA136E" w:rsidRDefault="009F72DD" w:rsidP="000D10F3">
      <w:pPr>
        <w:spacing w:before="120" w:after="120" w:line="240" w:lineRule="auto"/>
        <w:ind w:left="360"/>
        <w:rPr>
          <w:b/>
          <w:color w:val="365F91" w:themeColor="accent1" w:themeShade="BF"/>
        </w:rPr>
      </w:pPr>
      <w:r w:rsidRPr="00DA136E">
        <w:rPr>
          <w:b/>
          <w:color w:val="365F91" w:themeColor="accent1" w:themeShade="BF"/>
        </w:rPr>
        <w:t>Is it duplicating Youth forum’s in the area and if not how would they work together</w:t>
      </w:r>
    </w:p>
    <w:p w:rsidR="009F72DD" w:rsidRDefault="009F72DD" w:rsidP="0075151E">
      <w:pPr>
        <w:pStyle w:val="ListParagraph"/>
        <w:numPr>
          <w:ilvl w:val="0"/>
          <w:numId w:val="30"/>
        </w:numPr>
        <w:spacing w:before="120" w:after="120" w:line="240" w:lineRule="auto"/>
      </w:pPr>
      <w:r>
        <w:t xml:space="preserve">It’s not duplicating as there is no youth voice covering just the Battersea area or one specifically targeting marginalised groups. BYV will be based on training and personal development linked to ‘action’, i.e., not a talking shop but </w:t>
      </w:r>
      <w:proofErr w:type="gramStart"/>
      <w:r>
        <w:t>a</w:t>
      </w:r>
      <w:proofErr w:type="gramEnd"/>
      <w:r>
        <w:t xml:space="preserve"> arena for debate that leads to action.</w:t>
      </w:r>
    </w:p>
    <w:p w:rsidR="009F72DD" w:rsidRDefault="009F72DD" w:rsidP="0075151E">
      <w:pPr>
        <w:pStyle w:val="ListParagraph"/>
        <w:numPr>
          <w:ilvl w:val="0"/>
          <w:numId w:val="30"/>
        </w:numPr>
        <w:spacing w:before="120" w:after="120" w:line="240" w:lineRule="auto"/>
      </w:pPr>
      <w:r>
        <w:t>There are youth forums dealing with topics such as mental health and knife crime (including Tiffany’s Youth Council) who work alongside the NHS and CCG around knife crime and mental health.  Our Battersea Voice could feed into that and we could even place one or two members onto the Youth Council, to act as a link.</w:t>
      </w:r>
    </w:p>
    <w:p w:rsidR="009F72DD" w:rsidRDefault="009F72DD" w:rsidP="0075151E">
      <w:pPr>
        <w:pStyle w:val="ListParagraph"/>
        <w:numPr>
          <w:ilvl w:val="0"/>
          <w:numId w:val="30"/>
        </w:numPr>
        <w:spacing w:before="120" w:after="120" w:line="240" w:lineRule="auto"/>
      </w:pPr>
      <w:r>
        <w:t>WCEN are also running a youth forum that deals with knife crime, but this is only focused on BAME young people.</w:t>
      </w:r>
    </w:p>
    <w:p w:rsidR="009F72DD" w:rsidRDefault="009F72DD" w:rsidP="0075151E">
      <w:pPr>
        <w:pStyle w:val="ListParagraph"/>
        <w:numPr>
          <w:ilvl w:val="0"/>
          <w:numId w:val="30"/>
        </w:numPr>
        <w:spacing w:before="120" w:after="120" w:line="240" w:lineRule="auto"/>
      </w:pPr>
      <w:r w:rsidRPr="007E207C">
        <w:t>Tiffany is happy to be our link to the other youth participation</w:t>
      </w:r>
      <w:r>
        <w:t xml:space="preserve"> boards</w:t>
      </w:r>
      <w:r w:rsidRPr="007E207C">
        <w:t xml:space="preserve">.  </w:t>
      </w:r>
      <w:r>
        <w:t>We could have an arrangement where the Battersea Youth Voice</w:t>
      </w:r>
      <w:r w:rsidRPr="007E207C">
        <w:t xml:space="preserve"> could meet with the</w:t>
      </w:r>
      <w:r>
        <w:t xml:space="preserve"> Wandsworth Youth Council</w:t>
      </w:r>
      <w:r w:rsidRPr="007E207C">
        <w:t xml:space="preserve"> every quarter </w:t>
      </w:r>
      <w:r>
        <w:t xml:space="preserve">and/or </w:t>
      </w:r>
      <w:r w:rsidRPr="007E207C">
        <w:t xml:space="preserve">we could also have 2 </w:t>
      </w:r>
      <w:r>
        <w:t xml:space="preserve">members of the Battersea Youth Voice </w:t>
      </w:r>
      <w:r w:rsidRPr="007E207C">
        <w:t>on the youth council board.</w:t>
      </w: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t>What are other youth forums/councils doing</w:t>
      </w:r>
      <w:r w:rsidR="00DA136E" w:rsidRPr="00DA136E">
        <w:rPr>
          <w:b/>
          <w:color w:val="365F91" w:themeColor="accent1" w:themeShade="BF"/>
        </w:rPr>
        <w:t>?</w:t>
      </w:r>
    </w:p>
    <w:p w:rsidR="009F72DD" w:rsidRPr="0047762C" w:rsidRDefault="009F72DD" w:rsidP="0075151E">
      <w:pPr>
        <w:pStyle w:val="ListParagraph"/>
        <w:numPr>
          <w:ilvl w:val="0"/>
          <w:numId w:val="31"/>
        </w:numPr>
        <w:spacing w:before="120" w:after="120" w:line="240" w:lineRule="auto"/>
        <w:ind w:left="1080"/>
        <w:rPr>
          <w:b/>
        </w:rPr>
      </w:pPr>
      <w:r>
        <w:rPr>
          <w:b/>
        </w:rPr>
        <w:t>Wandsworth Youth Council</w:t>
      </w:r>
    </w:p>
    <w:p w:rsidR="009F72DD" w:rsidRDefault="009F72DD" w:rsidP="0075151E">
      <w:pPr>
        <w:pStyle w:val="ListParagraph"/>
        <w:numPr>
          <w:ilvl w:val="0"/>
          <w:numId w:val="32"/>
        </w:numPr>
        <w:spacing w:before="120" w:after="120" w:line="240" w:lineRule="auto"/>
        <w:ind w:left="1440"/>
      </w:pPr>
      <w:r>
        <w:t>Mental Health</w:t>
      </w:r>
    </w:p>
    <w:p w:rsidR="009F72DD" w:rsidRDefault="009F72DD" w:rsidP="0075151E">
      <w:pPr>
        <w:pStyle w:val="ListParagraph"/>
        <w:numPr>
          <w:ilvl w:val="0"/>
          <w:numId w:val="32"/>
        </w:numPr>
        <w:spacing w:before="120" w:after="120" w:line="240" w:lineRule="auto"/>
        <w:ind w:left="1440"/>
      </w:pPr>
      <w:r>
        <w:t>Votes @ 16</w:t>
      </w:r>
    </w:p>
    <w:p w:rsidR="009F72DD" w:rsidRDefault="009F72DD" w:rsidP="0075151E">
      <w:pPr>
        <w:pStyle w:val="ListParagraph"/>
        <w:numPr>
          <w:ilvl w:val="0"/>
          <w:numId w:val="32"/>
        </w:numPr>
        <w:spacing w:before="120" w:after="120" w:line="240" w:lineRule="auto"/>
        <w:ind w:left="1440"/>
      </w:pPr>
      <w:r>
        <w:t> End Knife Crime</w:t>
      </w:r>
    </w:p>
    <w:p w:rsidR="009F72DD" w:rsidRDefault="009F72DD" w:rsidP="0075151E">
      <w:pPr>
        <w:pStyle w:val="ListParagraph"/>
        <w:numPr>
          <w:ilvl w:val="0"/>
          <w:numId w:val="32"/>
        </w:numPr>
        <w:spacing w:before="120" w:after="120" w:line="240" w:lineRule="auto"/>
        <w:ind w:left="1440"/>
      </w:pPr>
      <w:r>
        <w:t>Support Youth  Services</w:t>
      </w:r>
    </w:p>
    <w:p w:rsidR="009F72DD" w:rsidRDefault="009F72DD" w:rsidP="0075151E">
      <w:pPr>
        <w:pStyle w:val="ListParagraph"/>
        <w:numPr>
          <w:ilvl w:val="0"/>
          <w:numId w:val="32"/>
        </w:numPr>
        <w:spacing w:before="120" w:after="120" w:line="240" w:lineRule="auto"/>
        <w:ind w:left="1440"/>
      </w:pPr>
      <w:r>
        <w:t>Equal Pay, For Equal Work</w:t>
      </w:r>
    </w:p>
    <w:p w:rsidR="009F72DD" w:rsidRPr="0047762C" w:rsidRDefault="009F72DD" w:rsidP="0075151E">
      <w:pPr>
        <w:pStyle w:val="ListParagraph"/>
        <w:numPr>
          <w:ilvl w:val="0"/>
          <w:numId w:val="31"/>
        </w:numPr>
        <w:spacing w:before="120" w:after="120" w:line="240" w:lineRule="auto"/>
      </w:pPr>
      <w:r>
        <w:rPr>
          <w:b/>
        </w:rPr>
        <w:t>Generic Wandsworth Young People</w:t>
      </w:r>
    </w:p>
    <w:p w:rsidR="009F72DD" w:rsidRDefault="009F72DD" w:rsidP="0075151E">
      <w:pPr>
        <w:pStyle w:val="ListParagraph"/>
        <w:numPr>
          <w:ilvl w:val="1"/>
          <w:numId w:val="33"/>
        </w:numPr>
        <w:spacing w:before="120" w:after="120" w:line="240" w:lineRule="auto"/>
      </w:pPr>
      <w:r>
        <w:t>End Knife Crime</w:t>
      </w:r>
    </w:p>
    <w:p w:rsidR="009F72DD" w:rsidRDefault="009F72DD" w:rsidP="0075151E">
      <w:pPr>
        <w:pStyle w:val="ListParagraph"/>
        <w:numPr>
          <w:ilvl w:val="1"/>
          <w:numId w:val="33"/>
        </w:numPr>
        <w:spacing w:before="120" w:after="120" w:line="240" w:lineRule="auto"/>
      </w:pPr>
      <w:r>
        <w:t>Mental Health</w:t>
      </w:r>
    </w:p>
    <w:p w:rsidR="009F72DD" w:rsidRDefault="009F72DD" w:rsidP="0075151E">
      <w:pPr>
        <w:pStyle w:val="ListParagraph"/>
        <w:numPr>
          <w:ilvl w:val="1"/>
          <w:numId w:val="33"/>
        </w:numPr>
        <w:spacing w:before="120" w:after="120" w:line="240" w:lineRule="auto"/>
      </w:pPr>
      <w:r>
        <w:t>Equal Pay, For  Equal Work</w:t>
      </w:r>
    </w:p>
    <w:p w:rsidR="009F72DD" w:rsidRDefault="009F72DD" w:rsidP="0075151E">
      <w:pPr>
        <w:pStyle w:val="ListParagraph"/>
        <w:numPr>
          <w:ilvl w:val="1"/>
          <w:numId w:val="33"/>
        </w:numPr>
        <w:spacing w:before="120" w:after="120" w:line="240" w:lineRule="auto"/>
      </w:pPr>
      <w:r>
        <w:t>Votes @ 16</w:t>
      </w:r>
    </w:p>
    <w:p w:rsidR="009F72DD" w:rsidRDefault="009F72DD" w:rsidP="0075151E">
      <w:pPr>
        <w:pStyle w:val="ListParagraph"/>
        <w:numPr>
          <w:ilvl w:val="1"/>
          <w:numId w:val="33"/>
        </w:numPr>
        <w:spacing w:before="120" w:after="120" w:line="240" w:lineRule="auto"/>
      </w:pPr>
      <w:r>
        <w:t>End Period  Poverty</w:t>
      </w:r>
    </w:p>
    <w:p w:rsidR="009F72DD" w:rsidRPr="0047762C" w:rsidRDefault="009F72DD" w:rsidP="0075151E">
      <w:pPr>
        <w:pStyle w:val="ListParagraph"/>
        <w:numPr>
          <w:ilvl w:val="0"/>
          <w:numId w:val="33"/>
        </w:numPr>
        <w:spacing w:before="120" w:after="120" w:line="240" w:lineRule="auto"/>
      </w:pPr>
      <w:r>
        <w:rPr>
          <w:b/>
        </w:rPr>
        <w:t>National Youth Councils</w:t>
      </w:r>
    </w:p>
    <w:p w:rsidR="009F72DD" w:rsidRDefault="009F72DD" w:rsidP="0075151E">
      <w:pPr>
        <w:pStyle w:val="ListParagraph"/>
        <w:numPr>
          <w:ilvl w:val="1"/>
          <w:numId w:val="33"/>
        </w:numPr>
        <w:spacing w:before="120" w:after="120" w:line="240" w:lineRule="auto"/>
      </w:pPr>
      <w:r>
        <w:t>End Knife Crime</w:t>
      </w:r>
    </w:p>
    <w:p w:rsidR="009F72DD" w:rsidRDefault="009F72DD" w:rsidP="0075151E">
      <w:pPr>
        <w:pStyle w:val="ListParagraph"/>
        <w:numPr>
          <w:ilvl w:val="1"/>
          <w:numId w:val="33"/>
        </w:numPr>
        <w:spacing w:before="120" w:after="120" w:line="240" w:lineRule="auto"/>
      </w:pPr>
      <w:r>
        <w:t>Mental Health</w:t>
      </w:r>
    </w:p>
    <w:p w:rsidR="009F72DD" w:rsidRDefault="009F72DD" w:rsidP="0075151E">
      <w:pPr>
        <w:pStyle w:val="ListParagraph"/>
        <w:numPr>
          <w:ilvl w:val="1"/>
          <w:numId w:val="33"/>
        </w:numPr>
        <w:spacing w:before="120" w:after="120" w:line="240" w:lineRule="auto"/>
      </w:pPr>
      <w:r>
        <w:t>Equal Pay, For  Equal Work</w:t>
      </w:r>
    </w:p>
    <w:p w:rsidR="009F72DD" w:rsidRDefault="009F72DD" w:rsidP="0075151E">
      <w:pPr>
        <w:pStyle w:val="ListParagraph"/>
        <w:numPr>
          <w:ilvl w:val="1"/>
          <w:numId w:val="33"/>
        </w:numPr>
        <w:spacing w:before="120" w:after="120" w:line="240" w:lineRule="auto"/>
      </w:pPr>
      <w:r>
        <w:t>Tackling  Homelessness</w:t>
      </w:r>
    </w:p>
    <w:p w:rsidR="009F72DD" w:rsidRDefault="009F72DD" w:rsidP="0075151E">
      <w:pPr>
        <w:pStyle w:val="ListParagraph"/>
        <w:numPr>
          <w:ilvl w:val="1"/>
          <w:numId w:val="33"/>
        </w:numPr>
        <w:spacing w:before="120" w:after="120" w:line="240" w:lineRule="auto"/>
      </w:pPr>
      <w:r>
        <w:t>Curriculum To Prepare Us For Life</w:t>
      </w:r>
    </w:p>
    <w:p w:rsidR="00E16774" w:rsidRDefault="00E16774" w:rsidP="000D10F3">
      <w:pPr>
        <w:spacing w:before="120" w:after="120" w:line="240" w:lineRule="auto"/>
        <w:ind w:firstLine="360"/>
        <w:rPr>
          <w:b/>
          <w:color w:val="365F91" w:themeColor="accent1" w:themeShade="BF"/>
        </w:rPr>
      </w:pP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lastRenderedPageBreak/>
        <w:t>What those involved will be expected to do:</w:t>
      </w:r>
    </w:p>
    <w:p w:rsidR="009F72DD" w:rsidRDefault="009F72DD" w:rsidP="0075151E">
      <w:pPr>
        <w:pStyle w:val="ListParagraph"/>
        <w:numPr>
          <w:ilvl w:val="0"/>
          <w:numId w:val="28"/>
        </w:numPr>
        <w:spacing w:before="120" w:after="120" w:line="240" w:lineRule="auto"/>
      </w:pPr>
      <w:r>
        <w:t>Attend a residential</w:t>
      </w:r>
    </w:p>
    <w:p w:rsidR="009F72DD" w:rsidRDefault="009F72DD" w:rsidP="0075151E">
      <w:pPr>
        <w:pStyle w:val="ListParagraph"/>
        <w:numPr>
          <w:ilvl w:val="0"/>
          <w:numId w:val="28"/>
        </w:numPr>
        <w:spacing w:before="120" w:after="120" w:line="240" w:lineRule="auto"/>
      </w:pPr>
      <w:r>
        <w:t>Attend training (Community Development; Project Planning; Planning for Real, etc)</w:t>
      </w:r>
    </w:p>
    <w:p w:rsidR="009F72DD" w:rsidRDefault="009F72DD" w:rsidP="0075151E">
      <w:pPr>
        <w:pStyle w:val="ListParagraph"/>
        <w:numPr>
          <w:ilvl w:val="0"/>
          <w:numId w:val="28"/>
        </w:numPr>
        <w:spacing w:before="120" w:after="120" w:line="240" w:lineRule="auto"/>
      </w:pPr>
      <w:r>
        <w:t>Attend meetings on a monthly basis</w:t>
      </w:r>
    </w:p>
    <w:p w:rsidR="009F72DD" w:rsidRDefault="009F72DD" w:rsidP="0075151E">
      <w:pPr>
        <w:pStyle w:val="ListParagraph"/>
        <w:numPr>
          <w:ilvl w:val="0"/>
          <w:numId w:val="28"/>
        </w:numPr>
        <w:spacing w:before="120" w:after="120" w:line="240" w:lineRule="auto"/>
      </w:pPr>
      <w:r>
        <w:t>Assist with research on the main topics</w:t>
      </w:r>
    </w:p>
    <w:p w:rsidR="009F72DD" w:rsidRDefault="009F72DD" w:rsidP="0075151E">
      <w:pPr>
        <w:pStyle w:val="ListParagraph"/>
        <w:numPr>
          <w:ilvl w:val="0"/>
          <w:numId w:val="28"/>
        </w:numPr>
        <w:spacing w:before="120" w:after="120" w:line="240" w:lineRule="auto"/>
      </w:pPr>
      <w:r>
        <w:t>Feedback their experiences</w:t>
      </w:r>
    </w:p>
    <w:p w:rsidR="009F72DD" w:rsidRDefault="009F72DD" w:rsidP="0075151E">
      <w:pPr>
        <w:pStyle w:val="ListParagraph"/>
        <w:numPr>
          <w:ilvl w:val="0"/>
          <w:numId w:val="28"/>
        </w:numPr>
        <w:spacing w:before="120" w:after="120" w:line="240" w:lineRule="auto"/>
      </w:pPr>
      <w:r>
        <w:t>Shape what their aims will be</w:t>
      </w:r>
    </w:p>
    <w:p w:rsidR="009F72DD" w:rsidRDefault="009F72DD" w:rsidP="0075151E">
      <w:pPr>
        <w:pStyle w:val="ListParagraph"/>
        <w:numPr>
          <w:ilvl w:val="0"/>
          <w:numId w:val="28"/>
        </w:numPr>
        <w:spacing w:before="120" w:after="120" w:line="240" w:lineRule="auto"/>
      </w:pPr>
      <w:r>
        <w:t>Suggest possible answers for how to deal with the topics highlighted</w:t>
      </w:r>
    </w:p>
    <w:p w:rsidR="009F72DD" w:rsidRDefault="009F72DD" w:rsidP="0075151E">
      <w:pPr>
        <w:pStyle w:val="ListParagraph"/>
        <w:numPr>
          <w:ilvl w:val="0"/>
          <w:numId w:val="28"/>
        </w:numPr>
        <w:spacing w:before="120" w:after="120" w:line="240" w:lineRule="auto"/>
      </w:pPr>
      <w:r>
        <w:t>Vote in various positions, i.e. chair, treasurer and lead on knife crime or lead on housing etc</w:t>
      </w:r>
    </w:p>
    <w:p w:rsidR="009F72DD" w:rsidRDefault="009F72DD" w:rsidP="0075151E">
      <w:pPr>
        <w:pStyle w:val="ListParagraph"/>
        <w:numPr>
          <w:ilvl w:val="0"/>
          <w:numId w:val="28"/>
        </w:numPr>
        <w:spacing w:before="120" w:after="120" w:line="240" w:lineRule="auto"/>
      </w:pPr>
      <w:r>
        <w:t>Work alongside the rest of the Alliance to lobby and deal with these issues</w:t>
      </w:r>
    </w:p>
    <w:p w:rsidR="009F72DD" w:rsidRDefault="009F72DD" w:rsidP="0075151E">
      <w:pPr>
        <w:pStyle w:val="ListParagraph"/>
        <w:numPr>
          <w:ilvl w:val="0"/>
          <w:numId w:val="28"/>
        </w:numPr>
        <w:spacing w:before="120" w:after="120" w:line="240" w:lineRule="auto"/>
      </w:pPr>
      <w:r>
        <w:t>Liaise with other local young people to gain their opinions on our core activities.</w:t>
      </w:r>
    </w:p>
    <w:p w:rsidR="009F72DD" w:rsidRDefault="009F72DD" w:rsidP="0075151E">
      <w:pPr>
        <w:pStyle w:val="ListParagraph"/>
        <w:numPr>
          <w:ilvl w:val="0"/>
          <w:numId w:val="28"/>
        </w:numPr>
        <w:spacing w:before="120" w:after="120" w:line="240" w:lineRule="auto"/>
      </w:pPr>
      <w:r>
        <w:t>Bid for funding to tackle issues they choose to target</w:t>
      </w:r>
    </w:p>
    <w:p w:rsidR="009F72DD" w:rsidRDefault="009F72DD" w:rsidP="0075151E">
      <w:pPr>
        <w:pStyle w:val="ListParagraph"/>
        <w:numPr>
          <w:ilvl w:val="0"/>
          <w:numId w:val="28"/>
        </w:numPr>
        <w:spacing w:before="120" w:after="120" w:line="240" w:lineRule="auto"/>
      </w:pPr>
      <w:r w:rsidRPr="00F244A0">
        <w:t>They can be young commissioners, sort of like YOF</w:t>
      </w:r>
    </w:p>
    <w:p w:rsidR="009F72DD" w:rsidRDefault="009F72DD" w:rsidP="0075151E">
      <w:pPr>
        <w:pStyle w:val="ListParagraph"/>
        <w:numPr>
          <w:ilvl w:val="0"/>
          <w:numId w:val="28"/>
        </w:numPr>
        <w:spacing w:before="120" w:after="120" w:line="240" w:lineRule="auto"/>
      </w:pPr>
      <w:r>
        <w:t>We aim to target marginalised groups, so those that are not willing or able to do all of the above, could link in with a member of staff or one of the Youth Voice members.  There is a risk that other group members may find this unfair, in which case we could have those that don’t attend meetings as consultants, rather than group members (ideally get them into the group though, as it helps with their social skills and breaking down barriers).</w:t>
      </w:r>
    </w:p>
    <w:p w:rsidR="009F72DD" w:rsidRDefault="009F72DD" w:rsidP="0075151E">
      <w:pPr>
        <w:pStyle w:val="ListParagraph"/>
        <w:spacing w:before="120" w:after="120" w:line="240" w:lineRule="auto"/>
      </w:pPr>
    </w:p>
    <w:p w:rsidR="009F72DD" w:rsidRPr="00DA136E" w:rsidRDefault="009F72DD" w:rsidP="000D10F3">
      <w:pPr>
        <w:spacing w:before="120" w:after="120" w:line="240" w:lineRule="auto"/>
        <w:ind w:firstLine="360"/>
        <w:rPr>
          <w:b/>
          <w:color w:val="365F91" w:themeColor="accent1" w:themeShade="BF"/>
        </w:rPr>
      </w:pPr>
      <w:r w:rsidRPr="00DA136E">
        <w:rPr>
          <w:b/>
          <w:color w:val="365F91" w:themeColor="accent1" w:themeShade="BF"/>
        </w:rPr>
        <w:t>How we will recruit:</w:t>
      </w:r>
    </w:p>
    <w:p w:rsidR="009F72DD" w:rsidRDefault="009F72DD" w:rsidP="0075151E">
      <w:pPr>
        <w:pStyle w:val="ListParagraph"/>
        <w:numPr>
          <w:ilvl w:val="0"/>
          <w:numId w:val="29"/>
        </w:numPr>
        <w:spacing w:before="120" w:after="120" w:line="240" w:lineRule="auto"/>
      </w:pPr>
      <w:r>
        <w:t>Having an o</w:t>
      </w:r>
      <w:r w:rsidRPr="00F244A0">
        <w:t>pen door policy would be better than electing people into the group</w:t>
      </w:r>
      <w:r>
        <w:t xml:space="preserve"> as those marginalised are unlikely to win votes</w:t>
      </w:r>
    </w:p>
    <w:p w:rsidR="009F72DD" w:rsidRDefault="009F72DD" w:rsidP="0075151E">
      <w:pPr>
        <w:pStyle w:val="ListParagraph"/>
        <w:numPr>
          <w:ilvl w:val="0"/>
          <w:numId w:val="29"/>
        </w:numPr>
        <w:spacing w:before="120" w:after="120" w:line="240" w:lineRule="auto"/>
      </w:pPr>
      <w:r>
        <w:t xml:space="preserve">Look at incentives.  </w:t>
      </w:r>
      <w:r w:rsidRPr="00957900">
        <w:t>Could pay them</w:t>
      </w:r>
      <w:r>
        <w:t xml:space="preserve"> but there are concerns over what they could spend it on, so vouchers may be a better choice, unless we plan to actually employ them (which is a bit of a rigmarole)</w:t>
      </w:r>
    </w:p>
    <w:p w:rsidR="009F72DD" w:rsidRDefault="009F72DD" w:rsidP="0075151E">
      <w:pPr>
        <w:pStyle w:val="ListParagraph"/>
        <w:numPr>
          <w:ilvl w:val="0"/>
          <w:numId w:val="29"/>
        </w:numPr>
        <w:spacing w:before="120" w:after="120" w:line="240" w:lineRule="auto"/>
      </w:pPr>
      <w:r>
        <w:t xml:space="preserve">Face to face meetings at PRU and YOT.  </w:t>
      </w:r>
      <w:r w:rsidRPr="00E26113">
        <w:t>We could have meetings count as YOT appointments to ensure they come (although it might mean they are just coming because of YOT)</w:t>
      </w:r>
    </w:p>
    <w:p w:rsidR="009F72DD" w:rsidRDefault="009F72DD" w:rsidP="0075151E">
      <w:pPr>
        <w:pStyle w:val="ListParagraph"/>
        <w:numPr>
          <w:ilvl w:val="0"/>
          <w:numId w:val="29"/>
        </w:numPr>
        <w:spacing w:before="120" w:after="120" w:line="240" w:lineRule="auto"/>
      </w:pPr>
      <w:r>
        <w:t>Referrals from our own organisations</w:t>
      </w:r>
    </w:p>
    <w:p w:rsidR="009F72DD" w:rsidRDefault="009F72DD" w:rsidP="0075151E">
      <w:pPr>
        <w:pStyle w:val="ListParagraph"/>
        <w:numPr>
          <w:ilvl w:val="0"/>
          <w:numId w:val="29"/>
        </w:numPr>
        <w:spacing w:before="120" w:after="120" w:line="240" w:lineRule="auto"/>
      </w:pPr>
      <w:r>
        <w:t>Could use a questionnaire to gauge an interest and see what topics are highlighted as ones they feel needs to be addressed</w:t>
      </w:r>
    </w:p>
    <w:p w:rsidR="009F72DD" w:rsidRDefault="009F72DD" w:rsidP="0075151E">
      <w:pPr>
        <w:pStyle w:val="ListParagraph"/>
        <w:numPr>
          <w:ilvl w:val="0"/>
          <w:numId w:val="29"/>
        </w:numPr>
        <w:spacing w:before="120" w:after="120" w:line="240" w:lineRule="auto"/>
      </w:pPr>
      <w:r>
        <w:t>Highlight how this could be great development for them and will look good on a CV (especially if accreditations go alongside it)</w:t>
      </w:r>
    </w:p>
    <w:p w:rsidR="009F72DD" w:rsidRPr="00F244A0" w:rsidRDefault="009F72DD" w:rsidP="0075151E">
      <w:pPr>
        <w:pStyle w:val="ListParagraph"/>
        <w:numPr>
          <w:ilvl w:val="0"/>
          <w:numId w:val="29"/>
        </w:numPr>
        <w:spacing w:before="120" w:after="120" w:line="240" w:lineRule="auto"/>
      </w:pPr>
      <w:r w:rsidRPr="00F244A0">
        <w:t xml:space="preserve">We </w:t>
      </w:r>
      <w:r>
        <w:t>could get</w:t>
      </w:r>
      <w:r w:rsidRPr="00F244A0">
        <w:t xml:space="preserve"> the young people who we have selected to do a lot of the outreach</w:t>
      </w:r>
    </w:p>
    <w:p w:rsidR="009F72DD" w:rsidRPr="00957900" w:rsidRDefault="009F72DD" w:rsidP="0075151E">
      <w:pPr>
        <w:pStyle w:val="ListParagraph"/>
        <w:numPr>
          <w:ilvl w:val="0"/>
          <w:numId w:val="29"/>
        </w:numPr>
        <w:spacing w:before="120" w:after="120" w:line="240" w:lineRule="auto"/>
      </w:pPr>
      <w:r>
        <w:t>We could get NEET figures from connexions and approach NEETS (gives them something for their CV)</w:t>
      </w:r>
    </w:p>
    <w:p w:rsidR="009F72DD" w:rsidRDefault="009F72DD" w:rsidP="0075151E">
      <w:pPr>
        <w:spacing w:before="120" w:after="120" w:line="240" w:lineRule="auto"/>
      </w:pPr>
    </w:p>
    <w:p w:rsidR="009F72DD" w:rsidRDefault="009F72DD" w:rsidP="0075151E">
      <w:pPr>
        <w:spacing w:before="120" w:after="120" w:line="240" w:lineRule="auto"/>
      </w:pPr>
    </w:p>
    <w:p w:rsidR="00125435" w:rsidRDefault="00125435">
      <w:pPr>
        <w:rPr>
          <w:rFonts w:ascii="Calibri" w:hAnsi="Calibri" w:cs="Calibri"/>
          <w:sz w:val="22"/>
        </w:rPr>
      </w:pPr>
      <w:r>
        <w:rPr>
          <w:rFonts w:ascii="Calibri" w:hAnsi="Calibri" w:cs="Calibri"/>
          <w:sz w:val="22"/>
        </w:rPr>
        <w:br w:type="page"/>
      </w:r>
    </w:p>
    <w:p w:rsidR="00125435" w:rsidRPr="00125435" w:rsidRDefault="00125435" w:rsidP="00CE2B20">
      <w:pPr>
        <w:pStyle w:val="Heading2"/>
        <w:spacing w:before="120" w:after="120" w:line="240" w:lineRule="auto"/>
        <w:rPr>
          <w:rFonts w:ascii="Verdana" w:hAnsi="Verdana" w:cs="Calibri"/>
          <w:sz w:val="24"/>
          <w:szCs w:val="24"/>
        </w:rPr>
      </w:pPr>
      <w:bookmarkStart w:id="6" w:name="_Toc17971674"/>
      <w:r w:rsidRPr="00125435">
        <w:rPr>
          <w:rFonts w:ascii="Verdana" w:hAnsi="Verdana" w:cs="Calibri"/>
          <w:sz w:val="24"/>
          <w:szCs w:val="24"/>
        </w:rPr>
        <w:lastRenderedPageBreak/>
        <w:t xml:space="preserve">Appendix </w:t>
      </w:r>
      <w:r w:rsidR="00CE5165" w:rsidRPr="00125435">
        <w:rPr>
          <w:rFonts w:ascii="Verdana" w:hAnsi="Verdana" w:cs="Calibri"/>
          <w:sz w:val="24"/>
          <w:szCs w:val="24"/>
        </w:rPr>
        <w:t>2:</w:t>
      </w:r>
      <w:r>
        <w:rPr>
          <w:rFonts w:ascii="Verdana" w:hAnsi="Verdana" w:cs="Calibri"/>
          <w:sz w:val="24"/>
          <w:szCs w:val="24"/>
        </w:rPr>
        <w:t xml:space="preserve"> Future Years</w:t>
      </w:r>
      <w:r w:rsidR="00CE2B20">
        <w:rPr>
          <w:rFonts w:ascii="Verdana" w:hAnsi="Verdana" w:cs="Calibri"/>
          <w:sz w:val="24"/>
          <w:szCs w:val="24"/>
        </w:rPr>
        <w:t>, Projects and Themes</w:t>
      </w:r>
      <w:bookmarkEnd w:id="6"/>
    </w:p>
    <w:p w:rsidR="00125435" w:rsidRDefault="00125435" w:rsidP="00125435">
      <w:pPr>
        <w:pStyle w:val="Heading2"/>
        <w:spacing w:before="120" w:after="120" w:line="240" w:lineRule="auto"/>
        <w:ind w:left="208" w:firstLine="720"/>
        <w:rPr>
          <w:rFonts w:ascii="Calibri" w:hAnsi="Calibri" w:cs="Calibri"/>
          <w:sz w:val="22"/>
        </w:rPr>
      </w:pPr>
    </w:p>
    <w:p w:rsidR="00125435" w:rsidRDefault="00360379" w:rsidP="00CE2B20">
      <w:pPr>
        <w:rPr>
          <w:b/>
          <w:color w:val="365F91" w:themeColor="accent1" w:themeShade="BF"/>
        </w:rPr>
      </w:pPr>
      <w:r>
        <w:rPr>
          <w:b/>
          <w:color w:val="365F91" w:themeColor="accent1" w:themeShade="BF"/>
        </w:rPr>
        <w:t>2021-25</w:t>
      </w:r>
    </w:p>
    <w:p w:rsidR="00360379" w:rsidRDefault="00360379" w:rsidP="00CE2B20">
      <w:r>
        <w:t xml:space="preserve">With the community infrastructure in place (or developing) for Young People, Volunteers and the Community Voluntary Sector </w:t>
      </w:r>
      <w:r w:rsidR="00011BB7">
        <w:t>we will be well placed to engage with major funders</w:t>
      </w:r>
    </w:p>
    <w:p w:rsidR="00CE2B20" w:rsidRDefault="00CE2B20" w:rsidP="00CE2B20">
      <w:r>
        <w:t>The following represent the range of projects and themes that could be developed with significant new investment in the BLSW11 area.</w:t>
      </w:r>
    </w:p>
    <w:p w:rsidR="00CE2B20" w:rsidRDefault="00CE2B20" w:rsidP="00CE2B20">
      <w:pPr>
        <w:rPr>
          <w:b/>
          <w:color w:val="365F91" w:themeColor="accent1" w:themeShade="BF"/>
        </w:rPr>
      </w:pPr>
      <w:r>
        <w:rPr>
          <w:b/>
          <w:color w:val="365F91" w:themeColor="accent1" w:themeShade="BF"/>
        </w:rPr>
        <w:t>Building Futures</w:t>
      </w:r>
    </w:p>
    <w:p w:rsidR="00CE2B20" w:rsidRDefault="00CE2B20" w:rsidP="00CE2B20">
      <w:r>
        <w:t>In 2015/16 BLSW11 piloted a ‘Building Futures’ project that offered confidential advice and guidance for local people on any matter that may be of concern, with no restrictions on who could apply, how long they would receive support and with flexibility about where meetings would be held. The pilot was a great success with numbers gaining knowledge and support that lead directly to new employment, training and/or work experience. We aim to establish building futures on a permanent basis.</w:t>
      </w:r>
    </w:p>
    <w:p w:rsidR="00CE2B20" w:rsidRDefault="00CE2B20" w:rsidP="00CE2B20">
      <w:r>
        <w:t xml:space="preserve">Est. Cost: £50k a year </w:t>
      </w:r>
    </w:p>
    <w:p w:rsidR="00CE2B20" w:rsidRPr="00CD2336" w:rsidRDefault="00CE2B20" w:rsidP="00CE2B20">
      <w:pPr>
        <w:rPr>
          <w:b/>
          <w:color w:val="365F91" w:themeColor="accent1" w:themeShade="BF"/>
        </w:rPr>
      </w:pPr>
      <w:r>
        <w:rPr>
          <w:b/>
          <w:color w:val="365F91" w:themeColor="accent1" w:themeShade="BF"/>
        </w:rPr>
        <w:t xml:space="preserve">4 x </w:t>
      </w:r>
      <w:r w:rsidRPr="00CD2336">
        <w:rPr>
          <w:b/>
          <w:color w:val="365F91" w:themeColor="accent1" w:themeShade="BF"/>
        </w:rPr>
        <w:t>Community Connectors</w:t>
      </w:r>
    </w:p>
    <w:p w:rsidR="00CE2B20" w:rsidRDefault="00CE2B20" w:rsidP="00CE2B20">
      <w:r>
        <w:t>The aim is to work with local residents that have established a track record of effective engagement to transfer their skills and knowledge to parts of the community where community participation is low. This may include supporting existing Residents Associations to develop project management skills through training and mentoring.</w:t>
      </w:r>
    </w:p>
    <w:p w:rsidR="00CE2B20" w:rsidRDefault="00CE2B20" w:rsidP="00CE2B20">
      <w:r>
        <w:t>Est. Cost: £40k per Connector = £160k a year</w:t>
      </w:r>
    </w:p>
    <w:p w:rsidR="00CE2B20" w:rsidRPr="00CD2336" w:rsidRDefault="00CE2B20" w:rsidP="00CE2B20">
      <w:pPr>
        <w:rPr>
          <w:b/>
          <w:color w:val="365F91" w:themeColor="accent1" w:themeShade="BF"/>
        </w:rPr>
      </w:pPr>
      <w:r w:rsidRPr="00CD2336">
        <w:rPr>
          <w:b/>
          <w:color w:val="365F91" w:themeColor="accent1" w:themeShade="BF"/>
        </w:rPr>
        <w:t>JCT Management</w:t>
      </w:r>
    </w:p>
    <w:p w:rsidR="00CE2B20" w:rsidRDefault="00CE2B20" w:rsidP="00CE2B20">
      <w:r>
        <w:t>An adaptation of the ‘street pastors’ concept, JCT will see local people developing a regular presence in our neighbourhoods and communities; a core group of 15 volunteers will worth with the Alliance to adopt good practice standards in community development and engagement. A key task of JCT will be to connect local young people to the range of services and opportunities being developed by the Alliance.</w:t>
      </w:r>
    </w:p>
    <w:p w:rsidR="00CE2B20" w:rsidRDefault="00CE2B20" w:rsidP="00CE2B20">
      <w:pPr>
        <w:ind w:left="709"/>
      </w:pPr>
    </w:p>
    <w:p w:rsidR="00CE2B20" w:rsidRDefault="00CE2B20" w:rsidP="00CE2B20">
      <w:r>
        <w:t>Est. Cost: £40k a year</w:t>
      </w:r>
    </w:p>
    <w:p w:rsidR="00777DC3" w:rsidRDefault="00777DC3" w:rsidP="00CE2B20">
      <w:pPr>
        <w:rPr>
          <w:b/>
          <w:color w:val="365F91" w:themeColor="accent1" w:themeShade="BF"/>
        </w:rPr>
      </w:pPr>
    </w:p>
    <w:p w:rsidR="00CE2B20" w:rsidRPr="00CD2336" w:rsidRDefault="00CE2B20" w:rsidP="00CE2B20">
      <w:pPr>
        <w:rPr>
          <w:b/>
          <w:color w:val="365F91" w:themeColor="accent1" w:themeShade="BF"/>
        </w:rPr>
      </w:pPr>
      <w:r w:rsidRPr="00CD2336">
        <w:rPr>
          <w:b/>
          <w:color w:val="365F91" w:themeColor="accent1" w:themeShade="BF"/>
        </w:rPr>
        <w:lastRenderedPageBreak/>
        <w:t>SpaceMax+</w:t>
      </w:r>
    </w:p>
    <w:p w:rsidR="00CE2B20" w:rsidRDefault="00CE2B20" w:rsidP="00CE2B20">
      <w:r>
        <w:t>Overcrowding and ‘cluttering’ is a significant problem in our area; SpaceMax+ will bring local volunteers with skills in Carpentry, Electrical and Mechanical Engineering, Architecture and Design, to work with local families to redesign and/or declutter their homes. But our volunteers will also offer support and advice, sign-posting people to other services and opportunities that are being developed by the Alliance.</w:t>
      </w:r>
    </w:p>
    <w:p w:rsidR="00CE2B20" w:rsidRDefault="00CE2B20" w:rsidP="00CE2B20">
      <w:r>
        <w:t>Est. Cost: £40k a year</w:t>
      </w:r>
    </w:p>
    <w:p w:rsidR="00CE2B20" w:rsidRPr="00CD2336" w:rsidRDefault="00CE2B20" w:rsidP="00CE2B20">
      <w:pPr>
        <w:rPr>
          <w:b/>
          <w:color w:val="365F91" w:themeColor="accent1" w:themeShade="BF"/>
        </w:rPr>
      </w:pPr>
      <w:r w:rsidRPr="00CD2336">
        <w:rPr>
          <w:b/>
          <w:color w:val="365F91" w:themeColor="accent1" w:themeShade="BF"/>
        </w:rPr>
        <w:t>Urban Arts Festival</w:t>
      </w:r>
    </w:p>
    <w:p w:rsidR="00CE2B20" w:rsidRDefault="00CE2B20" w:rsidP="00CE2B20">
      <w:r>
        <w:t>A revolving programme of arts and culture driven by young people who will develop projects over a period of 12 months, culminating an annual performance to showcase their skills. The process may involve learning to play musical instruments; developing media skills; performing arts, etc. The idea is for young people to work across the disparate and diverse parts of the community to celebrate ‘Battersea Together’!</w:t>
      </w:r>
    </w:p>
    <w:p w:rsidR="00CE2B20" w:rsidRDefault="00CE2B20" w:rsidP="00CE2B20">
      <w:r>
        <w:t>Est. Cost: £30k a year</w:t>
      </w:r>
    </w:p>
    <w:p w:rsidR="00CE2B20" w:rsidRPr="008119A6" w:rsidRDefault="00CE2B20" w:rsidP="00CE2B20">
      <w:pPr>
        <w:rPr>
          <w:b/>
          <w:color w:val="365F91" w:themeColor="accent1" w:themeShade="BF"/>
        </w:rPr>
      </w:pPr>
      <w:r w:rsidRPr="008119A6">
        <w:rPr>
          <w:b/>
          <w:color w:val="365F91" w:themeColor="accent1" w:themeShade="BF"/>
        </w:rPr>
        <w:t>Int</w:t>
      </w:r>
      <w:r w:rsidRPr="00B37BD4">
        <w:rPr>
          <w:b/>
          <w:color w:val="365F91" w:themeColor="accent1" w:themeShade="BF"/>
          <w:szCs w:val="24"/>
        </w:rPr>
        <w:t>e</w:t>
      </w:r>
      <w:r w:rsidRPr="008119A6">
        <w:rPr>
          <w:b/>
          <w:color w:val="365F91" w:themeColor="accent1" w:themeShade="BF"/>
        </w:rPr>
        <w:t xml:space="preserve">rgenerational </w:t>
      </w:r>
    </w:p>
    <w:p w:rsidR="00CE2B20" w:rsidRDefault="00CE2B20" w:rsidP="00CE2B20">
      <w:r>
        <w:t>After funding a successful but limited Intergenerational Programme for five years, BLSW11’s evaluation and commissioned research (2019) will provide evidence of what needs to be done to tackle isolation and loneliness in SW11 in way that makes a lasting difference.</w:t>
      </w:r>
    </w:p>
    <w:p w:rsidR="00125435" w:rsidRPr="00DA136E" w:rsidRDefault="00125435" w:rsidP="00CE2B20">
      <w:pPr>
        <w:rPr>
          <w:b/>
          <w:color w:val="365F91" w:themeColor="accent1" w:themeShade="BF"/>
        </w:rPr>
      </w:pPr>
      <w:r w:rsidRPr="00DA136E">
        <w:rPr>
          <w:b/>
          <w:color w:val="365F91" w:themeColor="accent1" w:themeShade="BF"/>
        </w:rPr>
        <w:t xml:space="preserve">Mental Health Expertise </w:t>
      </w:r>
    </w:p>
    <w:p w:rsidR="00125435" w:rsidRPr="00265123" w:rsidRDefault="00125435" w:rsidP="00CE2B20">
      <w:pPr>
        <w:spacing w:before="120" w:after="120" w:line="240" w:lineRule="auto"/>
        <w:rPr>
          <w:rFonts w:cs="Calibri"/>
          <w:szCs w:val="24"/>
        </w:rPr>
      </w:pPr>
      <w:r w:rsidRPr="00265123">
        <w:rPr>
          <w:rFonts w:cs="Calibri"/>
          <w:szCs w:val="24"/>
        </w:rPr>
        <w:t>Perhaps one of the most challenging issues that prevent people from participating fully in employment or their communities, the well documented increase in mental issues (in SW11 patricianly Anxiety and Depression), can be tackled through a community development approach.</w:t>
      </w:r>
      <w:r>
        <w:rPr>
          <w:rStyle w:val="FootnoteReference"/>
          <w:rFonts w:cs="Calibri"/>
          <w:szCs w:val="24"/>
        </w:rPr>
        <w:footnoteReference w:id="7"/>
      </w:r>
      <w:r w:rsidRPr="00265123">
        <w:rPr>
          <w:rFonts w:cs="Calibri"/>
          <w:szCs w:val="24"/>
        </w:rPr>
        <w:t xml:space="preserve"> </w:t>
      </w:r>
    </w:p>
    <w:p w:rsidR="00125435" w:rsidRDefault="00125435" w:rsidP="00CE2B20">
      <w:pPr>
        <w:pStyle w:val="ListParagraph"/>
        <w:spacing w:before="120" w:after="120" w:line="240" w:lineRule="auto"/>
        <w:ind w:left="709"/>
        <w:rPr>
          <w:rFonts w:cs="Calibri"/>
          <w:szCs w:val="24"/>
        </w:rPr>
      </w:pPr>
    </w:p>
    <w:p w:rsidR="00125435" w:rsidRPr="00CE2B20" w:rsidRDefault="00125435" w:rsidP="00CE2B20">
      <w:pPr>
        <w:spacing w:before="120" w:after="120" w:line="240" w:lineRule="auto"/>
        <w:rPr>
          <w:rFonts w:cs="Calibri"/>
          <w:szCs w:val="24"/>
        </w:rPr>
      </w:pPr>
      <w:r w:rsidRPr="00CE2B20">
        <w:rPr>
          <w:rFonts w:cs="Calibri"/>
          <w:szCs w:val="24"/>
        </w:rPr>
        <w:t>As our strategy begins to deliver on strengthening our community infrastructure (BYV and Volunteering) so we will be better placed to address mental health by:</w:t>
      </w:r>
    </w:p>
    <w:p w:rsidR="00125435" w:rsidRPr="007C06CA" w:rsidRDefault="00125435" w:rsidP="00CE2B20">
      <w:pPr>
        <w:pStyle w:val="ListParagraph"/>
        <w:ind w:left="709"/>
        <w:rPr>
          <w:rFonts w:cs="Calibri"/>
          <w:szCs w:val="24"/>
        </w:rPr>
      </w:pPr>
    </w:p>
    <w:p w:rsidR="00125435" w:rsidRPr="00CE2B20" w:rsidRDefault="00125435" w:rsidP="00CE2B20">
      <w:pPr>
        <w:pStyle w:val="ListParagraph"/>
        <w:numPr>
          <w:ilvl w:val="0"/>
          <w:numId w:val="49"/>
        </w:numPr>
        <w:spacing w:before="120" w:after="120" w:line="240" w:lineRule="auto"/>
        <w:rPr>
          <w:rFonts w:cs="Calibri"/>
          <w:szCs w:val="24"/>
        </w:rPr>
      </w:pPr>
      <w:r w:rsidRPr="00CE2B20">
        <w:rPr>
          <w:rFonts w:cs="Calibri"/>
          <w:szCs w:val="24"/>
        </w:rPr>
        <w:t>Delivering mental health first aid training</w:t>
      </w:r>
    </w:p>
    <w:p w:rsidR="00125435" w:rsidRPr="00CE2B20" w:rsidRDefault="00125435" w:rsidP="00CE2B20">
      <w:pPr>
        <w:pStyle w:val="ListParagraph"/>
        <w:numPr>
          <w:ilvl w:val="0"/>
          <w:numId w:val="49"/>
        </w:numPr>
        <w:spacing w:before="120" w:after="120" w:line="240" w:lineRule="auto"/>
        <w:rPr>
          <w:rFonts w:cs="Calibri"/>
          <w:szCs w:val="24"/>
        </w:rPr>
      </w:pPr>
      <w:r w:rsidRPr="00CE2B20">
        <w:rPr>
          <w:rFonts w:cs="Calibri"/>
          <w:szCs w:val="24"/>
        </w:rPr>
        <w:t>By creating ‘safe places’ where people can meet to discuss/share experiences</w:t>
      </w:r>
    </w:p>
    <w:p w:rsidR="00125435" w:rsidRPr="00CE2B20" w:rsidRDefault="00125435" w:rsidP="00CE2B20">
      <w:pPr>
        <w:pStyle w:val="ListParagraph"/>
        <w:numPr>
          <w:ilvl w:val="0"/>
          <w:numId w:val="49"/>
        </w:numPr>
        <w:spacing w:before="120" w:after="120" w:line="240" w:lineRule="auto"/>
        <w:rPr>
          <w:rFonts w:cs="Calibri"/>
          <w:szCs w:val="24"/>
        </w:rPr>
      </w:pPr>
      <w:r w:rsidRPr="00CE2B20">
        <w:rPr>
          <w:rFonts w:cs="Calibri"/>
          <w:szCs w:val="24"/>
        </w:rPr>
        <w:t>By developing projects (well-being, mindfulness, etc) that prevent the need for medicalisation</w:t>
      </w:r>
    </w:p>
    <w:p w:rsidR="00125435" w:rsidRPr="007C06CA" w:rsidRDefault="00125435" w:rsidP="00CE2B20">
      <w:pPr>
        <w:pStyle w:val="ListParagraph"/>
        <w:ind w:left="709"/>
        <w:rPr>
          <w:rFonts w:cs="Calibri"/>
          <w:szCs w:val="24"/>
        </w:rPr>
      </w:pPr>
    </w:p>
    <w:p w:rsidR="00125435" w:rsidRPr="00CE2B20" w:rsidRDefault="00125435" w:rsidP="00CE2B20">
      <w:pPr>
        <w:spacing w:before="120" w:after="120" w:line="240" w:lineRule="auto"/>
        <w:rPr>
          <w:rFonts w:cs="Calibri"/>
          <w:szCs w:val="24"/>
        </w:rPr>
      </w:pPr>
      <w:r w:rsidRPr="00CE2B20">
        <w:rPr>
          <w:rFonts w:cs="Calibri"/>
          <w:szCs w:val="24"/>
        </w:rPr>
        <w:t>Poor mental health is also associated with isolation and loneliness, so measures adopted under our Intergenerational programme (2019/20) will also have potential benefits for local people.</w:t>
      </w:r>
    </w:p>
    <w:p w:rsidR="00125435" w:rsidRPr="00DA136E" w:rsidRDefault="00125435" w:rsidP="00CE2B20">
      <w:pPr>
        <w:rPr>
          <w:b/>
          <w:color w:val="365F91" w:themeColor="accent1" w:themeShade="BF"/>
        </w:rPr>
      </w:pPr>
      <w:r w:rsidRPr="00DA136E">
        <w:rPr>
          <w:b/>
          <w:color w:val="365F91" w:themeColor="accent1" w:themeShade="BF"/>
        </w:rPr>
        <w:t>Transitional Work</w:t>
      </w:r>
    </w:p>
    <w:p w:rsidR="00125435" w:rsidRPr="00CE2B20" w:rsidRDefault="00125435" w:rsidP="00CE2B20">
      <w:pPr>
        <w:spacing w:before="120" w:after="120" w:line="240" w:lineRule="auto"/>
        <w:rPr>
          <w:rFonts w:cs="Calibri"/>
          <w:szCs w:val="24"/>
        </w:rPr>
      </w:pPr>
      <w:r w:rsidRPr="00CE2B20">
        <w:rPr>
          <w:rFonts w:cs="Calibri"/>
          <w:szCs w:val="24"/>
        </w:rPr>
        <w:t>The empirical evidence is unambiguous that the transitions from home to school, from school to college/university, to the world of work, can fraught with difficulties for some people and that problems associated with poorly supported transitioning can have long term effects.</w:t>
      </w:r>
    </w:p>
    <w:p w:rsidR="00125435" w:rsidRDefault="00125435" w:rsidP="00CE2B20">
      <w:pPr>
        <w:pStyle w:val="ListParagraph"/>
        <w:spacing w:before="120" w:after="120" w:line="240" w:lineRule="auto"/>
        <w:ind w:left="709"/>
        <w:rPr>
          <w:rFonts w:cs="Calibri"/>
          <w:szCs w:val="24"/>
        </w:rPr>
      </w:pPr>
    </w:p>
    <w:p w:rsidR="00125435" w:rsidRPr="00CE2B20" w:rsidRDefault="00125435" w:rsidP="00CE2B20">
      <w:pPr>
        <w:spacing w:before="120" w:after="120" w:line="240" w:lineRule="auto"/>
        <w:rPr>
          <w:rFonts w:cs="Calibri"/>
          <w:szCs w:val="24"/>
        </w:rPr>
      </w:pPr>
      <w:r w:rsidRPr="00CE2B20">
        <w:rPr>
          <w:rFonts w:cs="Calibri"/>
          <w:szCs w:val="24"/>
        </w:rPr>
        <w:t xml:space="preserve">As our programme of mobilisation and support for local people begins to take effect we anticipate developing closer relations with our local schools and colleges (including pre-schools and Pupil referral units) to offer </w:t>
      </w:r>
    </w:p>
    <w:p w:rsidR="00125435" w:rsidRPr="00DA136E" w:rsidRDefault="00125435" w:rsidP="00CE2B20">
      <w:pPr>
        <w:rPr>
          <w:b/>
          <w:color w:val="365F91" w:themeColor="accent1" w:themeShade="BF"/>
        </w:rPr>
      </w:pPr>
      <w:r w:rsidRPr="00DA136E">
        <w:rPr>
          <w:b/>
          <w:color w:val="365F91" w:themeColor="accent1" w:themeShade="BF"/>
        </w:rPr>
        <w:t>Mentoring</w:t>
      </w:r>
    </w:p>
    <w:p w:rsidR="00125435" w:rsidRDefault="000F528F" w:rsidP="00CE2B20">
      <w:pPr>
        <w:spacing w:before="120" w:after="120" w:line="240" w:lineRule="auto"/>
        <w:rPr>
          <w:rFonts w:cs="Calibri"/>
          <w:szCs w:val="24"/>
        </w:rPr>
      </w:pPr>
      <w:r>
        <w:rPr>
          <w:rFonts w:cs="Calibri"/>
          <w:szCs w:val="24"/>
        </w:rPr>
        <w:t>All of the organisations in the Alliance undertake mentoring work which is not formally recognised or funded. This arises from the long term and intimate relationships that develop between users and their families and the professional staff and volunteers in Carney’s Community, St Peters, Caius House, Providence House and KLS.</w:t>
      </w:r>
    </w:p>
    <w:p w:rsidR="000F528F" w:rsidRDefault="000F528F" w:rsidP="00CE2B20">
      <w:pPr>
        <w:spacing w:before="120" w:after="120" w:line="240" w:lineRule="auto"/>
        <w:rPr>
          <w:rFonts w:cs="Calibri"/>
          <w:szCs w:val="24"/>
        </w:rPr>
      </w:pPr>
      <w:r>
        <w:rPr>
          <w:rFonts w:cs="Calibri"/>
          <w:szCs w:val="24"/>
        </w:rPr>
        <w:t>These ‘informal’ arrangements do not capture outputs or outcomes and many of the positive ‘stories’ of successful growth and development are lost.</w:t>
      </w:r>
    </w:p>
    <w:p w:rsidR="000F528F" w:rsidRDefault="000F528F" w:rsidP="00CE2B20">
      <w:pPr>
        <w:spacing w:before="120" w:after="120" w:line="240" w:lineRule="auto"/>
        <w:rPr>
          <w:rFonts w:cs="Calibri"/>
          <w:szCs w:val="24"/>
        </w:rPr>
      </w:pPr>
    </w:p>
    <w:p w:rsidR="000F528F" w:rsidRPr="00CE2B20" w:rsidRDefault="000F528F" w:rsidP="00CE2B20">
      <w:pPr>
        <w:spacing w:before="120" w:after="120" w:line="240" w:lineRule="auto"/>
        <w:rPr>
          <w:rFonts w:cs="Calibri"/>
          <w:szCs w:val="24"/>
        </w:rPr>
      </w:pPr>
      <w:r>
        <w:rPr>
          <w:rFonts w:cs="Calibri"/>
          <w:szCs w:val="24"/>
        </w:rPr>
        <w:t>A professionalised mentoring programme would enable us to monitor and evaluate the outcomes of what can be many years of mutual support.</w:t>
      </w:r>
    </w:p>
    <w:p w:rsidR="00125435" w:rsidRDefault="00125435" w:rsidP="00CE2B20">
      <w:pPr>
        <w:pStyle w:val="ListParagraph"/>
        <w:spacing w:before="120" w:after="120" w:line="240" w:lineRule="auto"/>
        <w:ind w:left="709"/>
        <w:rPr>
          <w:rFonts w:cs="Calibri"/>
          <w:szCs w:val="24"/>
        </w:rPr>
      </w:pPr>
    </w:p>
    <w:p w:rsidR="00125435" w:rsidRPr="00C077BE" w:rsidRDefault="00125435" w:rsidP="00CE2B20">
      <w:pPr>
        <w:pStyle w:val="ListParagraph"/>
        <w:ind w:left="709"/>
        <w:rPr>
          <w:rFonts w:cs="Calibri"/>
          <w:szCs w:val="24"/>
        </w:rPr>
      </w:pPr>
    </w:p>
    <w:p w:rsidR="00125435" w:rsidRDefault="00125435" w:rsidP="00CE2B20">
      <w:pPr>
        <w:pStyle w:val="ListParagraph"/>
        <w:spacing w:before="120" w:after="120" w:line="240" w:lineRule="auto"/>
        <w:ind w:left="709"/>
        <w:rPr>
          <w:rFonts w:cs="Calibri"/>
          <w:szCs w:val="24"/>
        </w:rPr>
      </w:pPr>
    </w:p>
    <w:p w:rsidR="00125435" w:rsidRDefault="00125435" w:rsidP="00265123">
      <w:pPr>
        <w:ind w:left="709"/>
        <w:rPr>
          <w:rFonts w:ascii="Calibri" w:hAnsi="Calibri" w:cs="Calibri"/>
          <w:sz w:val="22"/>
        </w:rPr>
      </w:pPr>
      <w:r>
        <w:rPr>
          <w:rFonts w:ascii="Calibri" w:hAnsi="Calibri" w:cs="Calibri"/>
          <w:sz w:val="22"/>
        </w:rPr>
        <w:br w:type="page"/>
      </w:r>
    </w:p>
    <w:p w:rsidR="00DF05A3" w:rsidRPr="004213D5" w:rsidRDefault="00125435" w:rsidP="004213D5">
      <w:pPr>
        <w:pStyle w:val="Heading2"/>
        <w:rPr>
          <w:rFonts w:ascii="Verdana" w:hAnsi="Verdana"/>
          <w:sz w:val="24"/>
          <w:szCs w:val="24"/>
        </w:rPr>
      </w:pPr>
      <w:bookmarkStart w:id="7" w:name="_Toc17971675"/>
      <w:r w:rsidRPr="004213D5">
        <w:rPr>
          <w:rFonts w:ascii="Verdana" w:hAnsi="Verdana"/>
          <w:sz w:val="24"/>
          <w:szCs w:val="24"/>
        </w:rPr>
        <w:lastRenderedPageBreak/>
        <w:t>Appendix 3: BLSW11 Alliance Strategy</w:t>
      </w:r>
      <w:bookmarkEnd w:id="7"/>
    </w:p>
    <w:p w:rsidR="00125435" w:rsidRPr="003F4D0E" w:rsidRDefault="00125435" w:rsidP="00125435">
      <w:pPr>
        <w:pStyle w:val="ListParagraph"/>
        <w:spacing w:before="120" w:after="120" w:line="240" w:lineRule="auto"/>
        <w:ind w:left="930"/>
        <w:rPr>
          <w:rFonts w:cs="Calibri"/>
          <w:szCs w:val="24"/>
        </w:rPr>
      </w:pPr>
      <w:r>
        <w:t xml:space="preserve">The Alliance </w:t>
      </w:r>
      <w:r w:rsidRPr="00D92F89">
        <w:t xml:space="preserve">is a </w:t>
      </w:r>
      <w:r>
        <w:t xml:space="preserve">lead </w:t>
      </w:r>
      <w:r w:rsidRPr="00D92F89">
        <w:t xml:space="preserve">group of </w:t>
      </w:r>
      <w:r>
        <w:t xml:space="preserve">five </w:t>
      </w:r>
      <w:r w:rsidRPr="00D92F89">
        <w:t xml:space="preserve">local long-standing, trusted and passionate </w:t>
      </w:r>
      <w:r>
        <w:t>organisations, with deep community roots and social relations that span many generations, working together to build a stronger Battersea, that will work in partnership with other local community delivery partners.</w:t>
      </w:r>
    </w:p>
    <w:p w:rsidR="00125435" w:rsidRPr="003F4D0E" w:rsidRDefault="00125435" w:rsidP="00125435">
      <w:pPr>
        <w:pStyle w:val="ListParagraph"/>
        <w:spacing w:before="120" w:after="120" w:line="240" w:lineRule="auto"/>
        <w:ind w:left="930"/>
        <w:rPr>
          <w:rFonts w:cs="Calibri"/>
          <w:szCs w:val="24"/>
        </w:rPr>
      </w:pPr>
    </w:p>
    <w:p w:rsidR="00125435" w:rsidRDefault="00125435" w:rsidP="00125435">
      <w:pPr>
        <w:pStyle w:val="ListParagraph"/>
        <w:spacing w:before="120" w:after="120" w:line="240" w:lineRule="auto"/>
        <w:ind w:left="930"/>
        <w:rPr>
          <w:rFonts w:cs="Calibri"/>
          <w:szCs w:val="24"/>
        </w:rPr>
      </w:pPr>
      <w:r>
        <w:rPr>
          <w:rFonts w:cs="Calibri"/>
          <w:szCs w:val="24"/>
        </w:rPr>
        <w:t>The Alliance has already started to deliver! In 2018/19 Providence House, Caius House, St Peter’s church, Carney’s Community and the Katherine Low Settlement worked together to:</w:t>
      </w:r>
    </w:p>
    <w:p w:rsidR="00125435" w:rsidRPr="003F4D0E" w:rsidRDefault="00125435" w:rsidP="00125435">
      <w:pPr>
        <w:pStyle w:val="ListParagraph"/>
        <w:rPr>
          <w:rFonts w:cs="Calibri"/>
          <w:szCs w:val="24"/>
        </w:rPr>
      </w:pPr>
    </w:p>
    <w:p w:rsidR="00125435" w:rsidRDefault="00125435" w:rsidP="00125435">
      <w:pPr>
        <w:pStyle w:val="ListParagraph"/>
        <w:numPr>
          <w:ilvl w:val="0"/>
          <w:numId w:val="38"/>
        </w:numPr>
        <w:spacing w:before="120" w:after="120" w:line="240" w:lineRule="auto"/>
        <w:rPr>
          <w:rFonts w:cs="Calibri"/>
          <w:szCs w:val="24"/>
        </w:rPr>
      </w:pPr>
      <w:r>
        <w:rPr>
          <w:rFonts w:cs="Calibri"/>
          <w:szCs w:val="24"/>
        </w:rPr>
        <w:t>Establish a system of interagency referrals, so that young people have much more on offer than belonging to one club!</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Ran a highly successful Summer Programme</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Developed the Urban Arts Festival</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Led in the development and delivery of the first Battersea Charity Week (June 2019) – with over 78 organisations attending!</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Delivered an Intergenerational project</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Participated in the first Wandsworth Voluntary Sector Conference (May 2019)</w:t>
      </w:r>
    </w:p>
    <w:p w:rsidR="00125435" w:rsidRDefault="00125435" w:rsidP="00125435">
      <w:pPr>
        <w:pStyle w:val="ListParagraph"/>
        <w:numPr>
          <w:ilvl w:val="0"/>
          <w:numId w:val="38"/>
        </w:numPr>
        <w:spacing w:before="120" w:after="120" w:line="240" w:lineRule="auto"/>
        <w:rPr>
          <w:rFonts w:cs="Calibri"/>
          <w:szCs w:val="24"/>
        </w:rPr>
      </w:pPr>
      <w:r>
        <w:rPr>
          <w:rFonts w:cs="Calibri"/>
          <w:szCs w:val="24"/>
        </w:rPr>
        <w:t>Met with MP Marsha De Cordova, to (amongst other things) lobby on behalf of Battersea Youth Voice (see below).</w:t>
      </w:r>
    </w:p>
    <w:p w:rsidR="00125435" w:rsidRPr="003F4D0E" w:rsidRDefault="00125435" w:rsidP="00125435">
      <w:pPr>
        <w:pStyle w:val="ListParagraph"/>
        <w:rPr>
          <w:rFonts w:cs="Calibri"/>
          <w:szCs w:val="24"/>
        </w:rPr>
      </w:pPr>
    </w:p>
    <w:p w:rsidR="00125435" w:rsidRDefault="00125435" w:rsidP="00125435">
      <w:pPr>
        <w:pStyle w:val="ListParagraph"/>
        <w:spacing w:before="120" w:after="120" w:line="240" w:lineRule="auto"/>
        <w:ind w:left="1080"/>
      </w:pPr>
      <w:r w:rsidRPr="00DA1538">
        <w:rPr>
          <w:rFonts w:cs="Calibri"/>
          <w:szCs w:val="24"/>
        </w:rPr>
        <w:t xml:space="preserve">By </w:t>
      </w:r>
      <w:r>
        <w:t>2024 the Big Local SW11 Alliance will address the main priorities for Battersea by mobilising 7,000</w:t>
      </w:r>
      <w:r>
        <w:rPr>
          <w:rStyle w:val="FootnoteReference"/>
        </w:rPr>
        <w:footnoteReference w:id="8"/>
      </w:r>
      <w:r>
        <w:t xml:space="preserve"> local people and organisations in Battersea to co-produce a host of multi-facetted, creative and effective services, activities and events, including: housing, health and wellbeing, mental health, arts &amp; culture, (un)employment, sports, advice and guidance, disability, environment, children and young people, families, elders, refugees, and more… All of which will contribute to realising our vision of rebuilding the social fabric of the community in Battersea.</w:t>
      </w:r>
    </w:p>
    <w:p w:rsidR="00125435" w:rsidRDefault="00125435" w:rsidP="00125435">
      <w:pPr>
        <w:pStyle w:val="ListParagraph"/>
        <w:spacing w:before="120" w:after="120" w:line="240" w:lineRule="auto"/>
        <w:ind w:left="1080"/>
      </w:pPr>
      <w:r>
        <w:t xml:space="preserve"> </w:t>
      </w:r>
    </w:p>
    <w:p w:rsidR="00125435" w:rsidRDefault="00125435" w:rsidP="00125435">
      <w:pPr>
        <w:pStyle w:val="ListParagraph"/>
        <w:spacing w:before="120" w:after="120" w:line="240" w:lineRule="auto"/>
        <w:ind w:left="930"/>
        <w:rPr>
          <w:rFonts w:cs="Calibri"/>
          <w:szCs w:val="24"/>
        </w:rPr>
      </w:pPr>
    </w:p>
    <w:p w:rsidR="00CE5165" w:rsidRDefault="00CE5165">
      <w:pPr>
        <w:rPr>
          <w:rFonts w:cs="Calibri"/>
          <w:szCs w:val="24"/>
        </w:rPr>
      </w:pPr>
      <w:r>
        <w:rPr>
          <w:rFonts w:cs="Calibri"/>
          <w:szCs w:val="24"/>
        </w:rPr>
        <w:br w:type="page"/>
      </w:r>
    </w:p>
    <w:p w:rsidR="00125435" w:rsidRPr="004213D5" w:rsidRDefault="00CE5165" w:rsidP="004213D5">
      <w:pPr>
        <w:pStyle w:val="Heading2"/>
        <w:rPr>
          <w:rFonts w:ascii="Verdana" w:hAnsi="Verdana"/>
          <w:sz w:val="24"/>
          <w:szCs w:val="24"/>
        </w:rPr>
      </w:pPr>
      <w:bookmarkStart w:id="8" w:name="_Toc17971676"/>
      <w:r w:rsidRPr="004213D5">
        <w:rPr>
          <w:rFonts w:ascii="Verdana" w:hAnsi="Verdana"/>
          <w:sz w:val="24"/>
          <w:szCs w:val="24"/>
        </w:rPr>
        <w:lastRenderedPageBreak/>
        <w:t>Appendix 4: State of the Community Voluntary Sector in SW11</w:t>
      </w:r>
      <w:bookmarkEnd w:id="8"/>
    </w:p>
    <w:p w:rsidR="00CE5165" w:rsidRDefault="00CE5165" w:rsidP="0075151E">
      <w:pPr>
        <w:spacing w:before="120" w:after="120" w:line="240" w:lineRule="auto"/>
        <w:rPr>
          <w:rFonts w:cs="Calibri"/>
          <w:szCs w:val="24"/>
        </w:rPr>
      </w:pPr>
    </w:p>
    <w:p w:rsidR="00CE5165" w:rsidRPr="00DA136E" w:rsidRDefault="00CE5165" w:rsidP="00DA136E">
      <w:pPr>
        <w:ind w:left="208" w:firstLine="720"/>
        <w:rPr>
          <w:b/>
          <w:color w:val="365F91" w:themeColor="accent1" w:themeShade="BF"/>
        </w:rPr>
      </w:pPr>
      <w:r w:rsidRPr="00DA136E">
        <w:rPr>
          <w:b/>
          <w:color w:val="365F91" w:themeColor="accent1" w:themeShade="BF"/>
        </w:rPr>
        <w:t>Working Across the Community Voluntary Sector</w:t>
      </w:r>
    </w:p>
    <w:p w:rsidR="00CE5165" w:rsidRDefault="00CE5165" w:rsidP="00CE5165">
      <w:pPr>
        <w:pStyle w:val="ListParagraph"/>
        <w:spacing w:before="120" w:after="120" w:line="240" w:lineRule="auto"/>
        <w:ind w:left="928"/>
        <w:rPr>
          <w:rFonts w:cs="Calibri"/>
          <w:szCs w:val="24"/>
        </w:rPr>
      </w:pPr>
      <w:r>
        <w:rPr>
          <w:rFonts w:cs="Calibri"/>
          <w:szCs w:val="24"/>
        </w:rPr>
        <w:t>In September 2018 BLSW11 published its The</w:t>
      </w:r>
      <w:r w:rsidRPr="009F72DD">
        <w:rPr>
          <w:rFonts w:cs="Calibri"/>
          <w:szCs w:val="24"/>
        </w:rPr>
        <w:t xml:space="preserve"> </w:t>
      </w:r>
      <w:r>
        <w:rPr>
          <w:rFonts w:cs="Calibri"/>
          <w:szCs w:val="24"/>
        </w:rPr>
        <w:t>State of the Sector report.</w:t>
      </w:r>
    </w:p>
    <w:p w:rsidR="00CE5165" w:rsidRDefault="00CE5165" w:rsidP="00CE5165">
      <w:pPr>
        <w:pStyle w:val="ListParagraph"/>
        <w:spacing w:before="120" w:after="120" w:line="240" w:lineRule="auto"/>
        <w:ind w:left="928"/>
        <w:rPr>
          <w:rFonts w:cs="Calibri"/>
          <w:szCs w:val="24"/>
        </w:rPr>
      </w:pPr>
    </w:p>
    <w:p w:rsidR="00CE5165" w:rsidRPr="00D77331" w:rsidRDefault="00CE5165" w:rsidP="00CE5165">
      <w:pPr>
        <w:pStyle w:val="ListParagraph"/>
        <w:spacing w:before="120" w:after="120" w:line="240" w:lineRule="auto"/>
        <w:ind w:left="993"/>
        <w:rPr>
          <w:szCs w:val="24"/>
        </w:rPr>
      </w:pPr>
      <w:r w:rsidRPr="00D77331">
        <w:rPr>
          <w:rFonts w:cs="Calibri"/>
          <w:szCs w:val="24"/>
        </w:rPr>
        <w:t>The</w:t>
      </w:r>
      <w:r>
        <w:rPr>
          <w:rFonts w:cs="Calibri"/>
          <w:szCs w:val="24"/>
        </w:rPr>
        <w:t xml:space="preserve"> key</w:t>
      </w:r>
      <w:r w:rsidRPr="00D77331">
        <w:rPr>
          <w:szCs w:val="24"/>
        </w:rPr>
        <w:t xml:space="preserve"> findings from the report were:</w:t>
      </w:r>
    </w:p>
    <w:p w:rsidR="00CE5165" w:rsidRPr="00000717" w:rsidRDefault="00CE5165" w:rsidP="00CE5165">
      <w:pPr>
        <w:pStyle w:val="ListParagraph"/>
        <w:spacing w:before="120" w:after="120" w:line="240" w:lineRule="auto"/>
        <w:rPr>
          <w:szCs w:val="24"/>
        </w:rPr>
      </w:pP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Approximately 364 people work in the Community Voluntary Sector in BLSW11</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There are approximately 1339 volunteers</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About 1646 volunteer hours are worked each week</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Based on salaries alone the ‘value’ of the Community Voluntary Sector in BLSW11 is worth between £10-£12m per annum</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We estimate that the Sector generates  £10m in turnover</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The ‘value’ of volunteering is estimated at £815,000 per annum</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Areas that appear to have ‘good’ coverage include: Youth, Religion, Education and Wellbeing</w:t>
      </w:r>
    </w:p>
    <w:p w:rsidR="00CE5165" w:rsidRDefault="00CE5165" w:rsidP="00CE5165">
      <w:pPr>
        <w:pStyle w:val="BodyText"/>
        <w:numPr>
          <w:ilvl w:val="0"/>
          <w:numId w:val="36"/>
        </w:numPr>
        <w:spacing w:before="120" w:after="120" w:line="240" w:lineRule="auto"/>
        <w:ind w:left="1797" w:hanging="357"/>
        <w:rPr>
          <w:rFonts w:cs="Arial"/>
          <w:sz w:val="24"/>
        </w:rPr>
      </w:pPr>
      <w:r>
        <w:rPr>
          <w:rFonts w:cs="Arial"/>
          <w:sz w:val="24"/>
        </w:rPr>
        <w:t>Areas that appear to have poor coverage include: Mental Health, Isolation, Environment and Poverty</w:t>
      </w:r>
    </w:p>
    <w:p w:rsidR="00CE5165" w:rsidRPr="0039403E" w:rsidRDefault="00CE5165" w:rsidP="00CE5165">
      <w:pPr>
        <w:spacing w:before="120" w:after="120" w:line="240" w:lineRule="auto"/>
        <w:ind w:left="928"/>
        <w:rPr>
          <w:rFonts w:cs="Calibri"/>
          <w:szCs w:val="24"/>
        </w:rPr>
      </w:pPr>
    </w:p>
    <w:p w:rsidR="0012501A" w:rsidRDefault="0012501A" w:rsidP="00CE5165">
      <w:pPr>
        <w:pStyle w:val="ListParagraph"/>
        <w:spacing w:before="120" w:after="120" w:line="240" w:lineRule="auto"/>
        <w:ind w:left="928"/>
        <w:rPr>
          <w:rFonts w:cs="Calibri"/>
          <w:szCs w:val="24"/>
        </w:rPr>
      </w:pPr>
    </w:p>
    <w:p w:rsidR="0012501A" w:rsidRDefault="0012501A" w:rsidP="00CE5165">
      <w:pPr>
        <w:pStyle w:val="ListParagraph"/>
        <w:spacing w:before="120" w:after="120" w:line="240" w:lineRule="auto"/>
        <w:ind w:left="928"/>
        <w:rPr>
          <w:rFonts w:cs="Calibri"/>
          <w:szCs w:val="24"/>
        </w:rPr>
      </w:pPr>
      <w:r>
        <w:rPr>
          <w:rFonts w:cs="Calibri"/>
          <w:szCs w:val="24"/>
        </w:rPr>
        <w:t>Of the 55 organisations consulted during the research, 33 expressed a strong interest in working with BLSW11. This provides a real opportunity for any additional funds that BLSW11 can attract into the community to be channelled through our local organisations as ‘delivery partners’.</w:t>
      </w:r>
    </w:p>
    <w:p w:rsidR="0012501A" w:rsidRDefault="0012501A" w:rsidP="00CE5165">
      <w:pPr>
        <w:pStyle w:val="ListParagraph"/>
        <w:spacing w:before="120" w:after="120" w:line="240" w:lineRule="auto"/>
        <w:ind w:left="928"/>
        <w:rPr>
          <w:rFonts w:cs="Calibri"/>
          <w:szCs w:val="24"/>
        </w:rPr>
      </w:pPr>
    </w:p>
    <w:p w:rsidR="00CE5165" w:rsidRPr="003F4D0E" w:rsidRDefault="00CE5165" w:rsidP="00CE5165">
      <w:pPr>
        <w:pStyle w:val="ListParagraph"/>
        <w:spacing w:before="120" w:after="120" w:line="240" w:lineRule="auto"/>
        <w:ind w:left="928"/>
        <w:rPr>
          <w:rFonts w:cs="Calibri"/>
          <w:szCs w:val="24"/>
        </w:rPr>
      </w:pPr>
      <w:r>
        <w:rPr>
          <w:rFonts w:cs="Calibri"/>
          <w:szCs w:val="24"/>
        </w:rPr>
        <w:t>A key aim of our strategy is to see the development of a stronger, more vibrant and resilient community voluntary sector, that is less vulnerable to the vagaries of ad hoc occasional grants and shifts in national, regional and local policies.</w:t>
      </w:r>
    </w:p>
    <w:p w:rsidR="0029168C" w:rsidRDefault="0029168C">
      <w:pPr>
        <w:rPr>
          <w:rFonts w:cs="Calibri"/>
          <w:szCs w:val="24"/>
        </w:rPr>
      </w:pPr>
      <w:r>
        <w:rPr>
          <w:rFonts w:cs="Calibri"/>
          <w:szCs w:val="24"/>
        </w:rPr>
        <w:br w:type="page"/>
      </w:r>
    </w:p>
    <w:p w:rsidR="00CE5165" w:rsidRDefault="000D10F3" w:rsidP="0029168C">
      <w:pPr>
        <w:pStyle w:val="Heading2"/>
      </w:pPr>
      <w:bookmarkStart w:id="9" w:name="_Toc17971677"/>
      <w:r>
        <w:lastRenderedPageBreak/>
        <w:t>Appendix</w:t>
      </w:r>
      <w:r w:rsidR="0029168C">
        <w:t xml:space="preserve"> 5: JV and BLSW11 Areas of Impact</w:t>
      </w:r>
      <w:r w:rsidR="00682FE0">
        <w:t>/Influence</w:t>
      </w:r>
      <w:bookmarkEnd w:id="9"/>
    </w:p>
    <w:p w:rsidR="0029168C" w:rsidRDefault="0029168C" w:rsidP="0029168C"/>
    <w:p w:rsidR="0029168C" w:rsidRDefault="0029168C" w:rsidP="0029168C">
      <w:pPr>
        <w:pStyle w:val="ListParagraph"/>
        <w:numPr>
          <w:ilvl w:val="1"/>
          <w:numId w:val="32"/>
        </w:numPr>
        <w:ind w:left="567" w:hanging="567"/>
      </w:pPr>
      <w:r>
        <w:rPr>
          <w:noProof/>
          <w:lang w:eastAsia="en-GB"/>
        </w:rPr>
        <w:drawing>
          <wp:anchor distT="0" distB="0" distL="114300" distR="114300" simplePos="0" relativeHeight="251666432" behindDoc="1" locked="0" layoutInCell="1" allowOverlap="1">
            <wp:simplePos x="0" y="0"/>
            <wp:positionH relativeFrom="column">
              <wp:posOffset>3709035</wp:posOffset>
            </wp:positionH>
            <wp:positionV relativeFrom="paragraph">
              <wp:posOffset>377825</wp:posOffset>
            </wp:positionV>
            <wp:extent cx="2186940" cy="1543050"/>
            <wp:effectExtent l="19050" t="0" r="3810" b="0"/>
            <wp:wrapTight wrapText="bothSides">
              <wp:wrapPolygon edited="0">
                <wp:start x="-188" y="0"/>
                <wp:lineTo x="-188" y="21333"/>
                <wp:lineTo x="21638" y="21333"/>
                <wp:lineTo x="21638" y="0"/>
                <wp:lineTo x="-188" y="0"/>
              </wp:wrapPolygon>
            </wp:wrapTight>
            <wp:docPr id="2" name="Picture 1" descr="C:\Users\USER\AppData\Local\Microsoft\Windows\INetCache\Content.Outlook\1N8VZ9LZ\Winstanley  York Road Regeneration Area (Inc  Land North of Grant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Winstanley  York Road Regeneration Area (Inc  Land North of Grant Road).jpg"/>
                    <pic:cNvPicPr>
                      <a:picLocks noChangeAspect="1" noChangeArrowheads="1"/>
                    </pic:cNvPicPr>
                  </pic:nvPicPr>
                  <pic:blipFill>
                    <a:blip r:embed="rId20" cstate="print"/>
                    <a:srcRect/>
                    <a:stretch>
                      <a:fillRect/>
                    </a:stretch>
                  </pic:blipFill>
                  <pic:spPr bwMode="auto">
                    <a:xfrm>
                      <a:off x="0" y="0"/>
                      <a:ext cx="2186940" cy="1543050"/>
                    </a:xfrm>
                    <a:prstGeom prst="rect">
                      <a:avLst/>
                    </a:prstGeom>
                    <a:noFill/>
                    <a:ln w="9525">
                      <a:noFill/>
                      <a:miter lim="800000"/>
                      <a:headEnd/>
                      <a:tailEnd/>
                    </a:ln>
                  </pic:spPr>
                </pic:pic>
              </a:graphicData>
            </a:graphic>
          </wp:anchor>
        </w:drawing>
      </w:r>
      <w:r>
        <w:t>The JV and BLSW11 cover the same geographic territory with BLSW11 extending its ‘reach’ across Latchmere Ward (including a small part of St Mary’s Ward).</w:t>
      </w:r>
    </w:p>
    <w:p w:rsidR="0029168C" w:rsidRDefault="0029168C" w:rsidP="0029168C">
      <w:pPr>
        <w:pStyle w:val="ListParagraph"/>
        <w:ind w:left="567"/>
      </w:pPr>
    </w:p>
    <w:p w:rsidR="0078553A" w:rsidRDefault="0078553A" w:rsidP="0029168C">
      <w:pPr>
        <w:pStyle w:val="ListParagraph"/>
        <w:numPr>
          <w:ilvl w:val="1"/>
          <w:numId w:val="32"/>
        </w:numPr>
        <w:ind w:left="567" w:hanging="567"/>
      </w:pPr>
      <w:r>
        <w:rPr>
          <w:noProof/>
          <w:lang w:eastAsia="en-GB"/>
        </w:rPr>
        <w:drawing>
          <wp:anchor distT="0" distB="0" distL="114300" distR="114300" simplePos="0" relativeHeight="251669504" behindDoc="1" locked="0" layoutInCell="1" allowOverlap="1">
            <wp:simplePos x="0" y="0"/>
            <wp:positionH relativeFrom="column">
              <wp:posOffset>4490085</wp:posOffset>
            </wp:positionH>
            <wp:positionV relativeFrom="paragraph">
              <wp:posOffset>1236980</wp:posOffset>
            </wp:positionV>
            <wp:extent cx="1543050" cy="1009650"/>
            <wp:effectExtent l="19050" t="0" r="0" b="0"/>
            <wp:wrapTight wrapText="bothSides">
              <wp:wrapPolygon edited="0">
                <wp:start x="-267" y="0"/>
                <wp:lineTo x="-267" y="21192"/>
                <wp:lineTo x="21600" y="21192"/>
                <wp:lineTo x="21600" y="0"/>
                <wp:lineTo x="-267" y="0"/>
              </wp:wrapPolygon>
            </wp:wrapTight>
            <wp:docPr id="3" name="Picture 3" descr="C:\Users\USER\Desktop\SW11 2019 -20\SW11  2016-2018\Management\ALLIANCE\STRATEGY\Joint Venture\InkedHigh Res Map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W11 2019 -20\SW11  2016-2018\Management\ALLIANCE\STRATEGY\Joint Venture\InkedHigh Res Map_LI.jpg"/>
                    <pic:cNvPicPr>
                      <a:picLocks noChangeAspect="1" noChangeArrowheads="1"/>
                    </pic:cNvPicPr>
                  </pic:nvPicPr>
                  <pic:blipFill>
                    <a:blip r:embed="rId21" cstate="print"/>
                    <a:srcRect/>
                    <a:stretch>
                      <a:fillRect/>
                    </a:stretch>
                  </pic:blipFill>
                  <pic:spPr bwMode="auto">
                    <a:xfrm>
                      <a:off x="0" y="0"/>
                      <a:ext cx="1543050" cy="1009650"/>
                    </a:xfrm>
                    <a:prstGeom prst="rect">
                      <a:avLst/>
                    </a:prstGeom>
                    <a:noFill/>
                    <a:ln w="9525">
                      <a:noFill/>
                      <a:miter lim="800000"/>
                      <a:headEnd/>
                      <a:tailEnd/>
                    </a:ln>
                  </pic:spPr>
                </pic:pic>
              </a:graphicData>
            </a:graphic>
          </wp:anchor>
        </w:drawing>
      </w:r>
      <w:r w:rsidR="00062886">
        <w:rPr>
          <w:noProof/>
        </w:rPr>
        <w:pict>
          <v:shapetype id="_x0000_t202" coordsize="21600,21600" o:spt="202" path="m,l,21600r21600,l21600,xe">
            <v:stroke joinstyle="miter"/>
            <v:path gradientshapeok="t" o:connecttype="rect"/>
          </v:shapetype>
          <v:shape id="_x0000_s1026" type="#_x0000_t202" style="position:absolute;left:0;text-align:left;margin-left:303.3pt;margin-top:71.9pt;width:172.2pt;height:17.25pt;z-index:251668480;mso-position-horizontal-relative:text;mso-position-vertical-relative:text" wrapcoords="-94 0 -94 21000 21600 21000 21600 0 -94 0" stroked="f">
            <v:textbox inset="0,0,0,0">
              <w:txbxContent>
                <w:p w:rsidR="000F528F" w:rsidRPr="00EB63BB" w:rsidRDefault="000F528F" w:rsidP="0029168C">
                  <w:pPr>
                    <w:pStyle w:val="Caption"/>
                    <w:rPr>
                      <w:noProof/>
                      <w:sz w:val="24"/>
                    </w:rPr>
                  </w:pPr>
                  <w:r>
                    <w:t xml:space="preserve">JV Regeneration Impact Area </w:t>
                  </w:r>
                </w:p>
              </w:txbxContent>
            </v:textbox>
            <w10:wrap type="tight"/>
          </v:shape>
        </w:pict>
      </w:r>
      <w:r>
        <w:t>The JV Area of Impact includes some of the most densely housed parts of Latchmere and parts of the population that are amongst the most ‘deprived’ in the Borough (and London).</w:t>
      </w:r>
    </w:p>
    <w:p w:rsidR="0078553A" w:rsidRDefault="0078553A" w:rsidP="0078553A">
      <w:pPr>
        <w:pStyle w:val="ListParagraph"/>
      </w:pPr>
    </w:p>
    <w:p w:rsidR="0078553A" w:rsidRDefault="00062886" w:rsidP="0029168C">
      <w:pPr>
        <w:pStyle w:val="ListParagraph"/>
        <w:numPr>
          <w:ilvl w:val="1"/>
          <w:numId w:val="32"/>
        </w:numPr>
        <w:ind w:left="567" w:hanging="567"/>
      </w:pPr>
      <w:r>
        <w:rPr>
          <w:noProof/>
        </w:rPr>
        <w:pict>
          <v:shape id="_x0000_s1027" type="#_x0000_t202" style="position:absolute;left:0;text-align:left;margin-left:354pt;margin-top:82.05pt;width:121.5pt;height:27pt;z-index:251671552" wrapcoords="-133 0 -133 21000 21600 21000 21600 0 -133 0" stroked="f">
            <v:textbox inset="0,0,0,0">
              <w:txbxContent>
                <w:p w:rsidR="000F528F" w:rsidRPr="000E3421" w:rsidRDefault="000F528F" w:rsidP="0078553A">
                  <w:pPr>
                    <w:pStyle w:val="Caption"/>
                    <w:rPr>
                      <w:noProof/>
                      <w:sz w:val="24"/>
                    </w:rPr>
                  </w:pPr>
                  <w:r>
                    <w:t xml:space="preserve">Regeneration Area within BLSW11 </w:t>
                  </w:r>
                </w:p>
              </w:txbxContent>
            </v:textbox>
            <w10:wrap type="tight"/>
          </v:shape>
        </w:pict>
      </w:r>
      <w:r w:rsidR="0078553A">
        <w:t xml:space="preserve">While BLSW11 is primarily focused on delivering benefits for residents of its eligible area, we recognise that many services and opportunities for local people may lie outside the physical ‘zone’ of the BLSW11 area. </w:t>
      </w:r>
    </w:p>
    <w:p w:rsidR="0078553A" w:rsidRDefault="0078553A" w:rsidP="0078553A">
      <w:pPr>
        <w:pStyle w:val="ListParagraph"/>
      </w:pPr>
    </w:p>
    <w:p w:rsidR="0029168C" w:rsidRDefault="0029168C" w:rsidP="0029168C">
      <w:pPr>
        <w:pStyle w:val="ListParagraph"/>
        <w:numPr>
          <w:ilvl w:val="1"/>
          <w:numId w:val="32"/>
        </w:numPr>
        <w:ind w:left="567" w:hanging="567"/>
      </w:pPr>
      <w:r>
        <w:t xml:space="preserve">The Alliance aims to engage with and deliver services across Battersea. </w:t>
      </w:r>
    </w:p>
    <w:p w:rsidR="00682FE0" w:rsidRDefault="00682FE0" w:rsidP="00682FE0">
      <w:pPr>
        <w:pStyle w:val="ListParagraph"/>
      </w:pPr>
    </w:p>
    <w:p w:rsidR="00C7238F" w:rsidRPr="00DC2080" w:rsidRDefault="00C7238F" w:rsidP="00C7238F">
      <w:pPr>
        <w:pStyle w:val="ListParagraph"/>
      </w:pPr>
    </w:p>
    <w:p w:rsidR="00682FE0" w:rsidRPr="00DC2080" w:rsidRDefault="00682FE0" w:rsidP="00C7238F"/>
    <w:sectPr w:rsidR="00682FE0" w:rsidRPr="00DC2080" w:rsidSect="00066A33">
      <w:pgSz w:w="11906" w:h="16838"/>
      <w:pgMar w:top="993" w:right="1134" w:bottom="709"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DB" w:rsidRDefault="009225DB" w:rsidP="004D360E">
      <w:pPr>
        <w:spacing w:after="0" w:line="240" w:lineRule="auto"/>
      </w:pPr>
      <w:r>
        <w:separator/>
      </w:r>
    </w:p>
  </w:endnote>
  <w:endnote w:type="continuationSeparator" w:id="0">
    <w:p w:rsidR="009225DB" w:rsidRDefault="009225DB" w:rsidP="004D3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FB" w:rsidRDefault="006F0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994"/>
      <w:docPartObj>
        <w:docPartGallery w:val="Page Numbers (Bottom of Page)"/>
        <w:docPartUnique/>
      </w:docPartObj>
    </w:sdtPr>
    <w:sdtContent>
      <w:p w:rsidR="000F528F" w:rsidRDefault="00062886">
        <w:pPr>
          <w:pStyle w:val="Footer"/>
          <w:jc w:val="right"/>
        </w:pPr>
        <w:fldSimple w:instr=" PAGE   \* MERGEFORMAT ">
          <w:r w:rsidR="006F03FB">
            <w:rPr>
              <w:noProof/>
            </w:rPr>
            <w:t>20</w:t>
          </w:r>
        </w:fldSimple>
      </w:p>
    </w:sdtContent>
  </w:sdt>
  <w:p w:rsidR="000F528F" w:rsidRDefault="000F52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8F" w:rsidRDefault="000F528F">
    <w:pPr>
      <w:pStyle w:val="Footer"/>
    </w:pPr>
  </w:p>
  <w:p w:rsidR="000F528F" w:rsidRDefault="000F5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DB" w:rsidRDefault="009225DB" w:rsidP="004D360E">
      <w:pPr>
        <w:spacing w:after="0" w:line="240" w:lineRule="auto"/>
      </w:pPr>
      <w:r>
        <w:separator/>
      </w:r>
    </w:p>
  </w:footnote>
  <w:footnote w:type="continuationSeparator" w:id="0">
    <w:p w:rsidR="009225DB" w:rsidRDefault="009225DB" w:rsidP="004D360E">
      <w:pPr>
        <w:spacing w:after="0" w:line="240" w:lineRule="auto"/>
      </w:pPr>
      <w:r>
        <w:continuationSeparator/>
      </w:r>
    </w:p>
  </w:footnote>
  <w:footnote w:id="1">
    <w:p w:rsidR="000F528F" w:rsidRPr="003B6814" w:rsidRDefault="000F528F" w:rsidP="003B6814">
      <w:pPr>
        <w:spacing w:before="120" w:after="120" w:line="240" w:lineRule="auto"/>
        <w:rPr>
          <w:rStyle w:val="Hyperlink"/>
          <w:sz w:val="16"/>
          <w:szCs w:val="16"/>
        </w:rPr>
      </w:pPr>
      <w:r>
        <w:rPr>
          <w:rStyle w:val="FootnoteReference"/>
        </w:rPr>
        <w:footnoteRef/>
      </w:r>
      <w:r>
        <w:t xml:space="preserve"> </w:t>
      </w:r>
      <w:r w:rsidRPr="003B6814">
        <w:rPr>
          <w:rFonts w:cs="Calibri"/>
          <w:sz w:val="16"/>
          <w:szCs w:val="16"/>
        </w:rPr>
        <w:t>.</w:t>
      </w:r>
      <w:hyperlink r:id="rId1" w:history="1">
        <w:r w:rsidRPr="003B6814">
          <w:rPr>
            <w:rStyle w:val="Hyperlink"/>
            <w:sz w:val="16"/>
            <w:szCs w:val="16"/>
          </w:rPr>
          <w:t>https://www.taylorwimpey.co.uk/about-us/what-we-do/building-more-than-homes</w:t>
        </w:r>
      </w:hyperlink>
    </w:p>
    <w:p w:rsidR="000F528F" w:rsidRDefault="000F528F">
      <w:pPr>
        <w:pStyle w:val="FootnoteText"/>
      </w:pPr>
    </w:p>
  </w:footnote>
  <w:footnote w:id="2">
    <w:p w:rsidR="000F528F" w:rsidRPr="003B6814" w:rsidRDefault="000F528F" w:rsidP="00256C6B">
      <w:pPr>
        <w:spacing w:before="120" w:after="120" w:line="240" w:lineRule="auto"/>
        <w:ind w:left="709" w:hanging="709"/>
        <w:rPr>
          <w:sz w:val="16"/>
          <w:szCs w:val="16"/>
        </w:rPr>
      </w:pPr>
      <w:r w:rsidRPr="003B6814">
        <w:rPr>
          <w:rStyle w:val="FootnoteReference"/>
          <w:sz w:val="16"/>
          <w:szCs w:val="16"/>
        </w:rPr>
        <w:footnoteRef/>
      </w:r>
      <w:r w:rsidRPr="003B6814">
        <w:rPr>
          <w:sz w:val="16"/>
          <w:szCs w:val="16"/>
        </w:rPr>
        <w:t xml:space="preserve"> </w:t>
      </w:r>
      <w:r w:rsidRPr="003B6814">
        <w:rPr>
          <w:rFonts w:cs="Calibri"/>
          <w:sz w:val="16"/>
          <w:szCs w:val="16"/>
        </w:rPr>
        <w:t>Statement of Community Involvement (February 2019);</w:t>
      </w:r>
      <w:r w:rsidRPr="003B6814">
        <w:rPr>
          <w:sz w:val="16"/>
          <w:szCs w:val="16"/>
        </w:rPr>
        <w:t xml:space="preserve"> </w:t>
      </w:r>
      <w:hyperlink r:id="rId2" w:history="1">
        <w:r w:rsidRPr="003B6814">
          <w:rPr>
            <w:rStyle w:val="Hyperlink"/>
            <w:sz w:val="16"/>
            <w:szCs w:val="16"/>
          </w:rPr>
          <w:t>https://www.wandsworth.gov.uk/leisure-and-culture/volunteering/voluntary-and-community-sector/</w:t>
        </w:r>
      </w:hyperlink>
    </w:p>
    <w:p w:rsidR="000F528F" w:rsidRDefault="000F528F">
      <w:pPr>
        <w:pStyle w:val="FootnoteText"/>
      </w:pPr>
    </w:p>
  </w:footnote>
  <w:footnote w:id="3">
    <w:p w:rsidR="000F528F" w:rsidRDefault="000F528F">
      <w:pPr>
        <w:pStyle w:val="FootnoteText"/>
      </w:pPr>
      <w:r>
        <w:rPr>
          <w:rStyle w:val="FootnoteReference"/>
        </w:rPr>
        <w:footnoteRef/>
      </w:r>
      <w:r>
        <w:t xml:space="preserve"> </w:t>
      </w:r>
      <w:hyperlink r:id="rId3" w:history="1">
        <w:r>
          <w:rPr>
            <w:rStyle w:val="Hyperlink"/>
          </w:rPr>
          <w:t>https://www.ons.gov.uk/peoplepopulationandcommunity/wellbeing/articles/measuringnationalwellbeing/2015-01-29</w:t>
        </w:r>
      </w:hyperlink>
    </w:p>
  </w:footnote>
  <w:footnote w:id="4">
    <w:p w:rsidR="000F528F" w:rsidRDefault="000F528F">
      <w:pPr>
        <w:pStyle w:val="FootnoteText"/>
      </w:pPr>
      <w:r>
        <w:rPr>
          <w:rStyle w:val="FootnoteReference"/>
        </w:rPr>
        <w:footnoteRef/>
      </w:r>
      <w:r>
        <w:t xml:space="preserve"> By ‘Community Infrastructure’, we mean durable organisations that focus on community development</w:t>
      </w:r>
    </w:p>
  </w:footnote>
  <w:footnote w:id="5">
    <w:p w:rsidR="000F528F" w:rsidRDefault="000F528F">
      <w:pPr>
        <w:pStyle w:val="FootnoteText"/>
      </w:pPr>
      <w:r>
        <w:rPr>
          <w:rStyle w:val="FootnoteReference"/>
        </w:rPr>
        <w:footnoteRef/>
      </w:r>
      <w:r>
        <w:t xml:space="preserve"> BYV will establish ‘baseline’ information against which to judge/evaluate outcomes</w:t>
      </w:r>
    </w:p>
  </w:footnote>
  <w:footnote w:id="6">
    <w:p w:rsidR="000F528F" w:rsidRDefault="000F528F" w:rsidP="00AF4FAD">
      <w:pPr>
        <w:pStyle w:val="FootnoteText"/>
      </w:pPr>
      <w:r>
        <w:rPr>
          <w:rStyle w:val="FootnoteReference"/>
        </w:rPr>
        <w:footnoteRef/>
      </w:r>
      <w:r>
        <w:t xml:space="preserve"> Volunteer Coordinator will establish ‘baseline’ information against which to judge/evaluate outcomes</w:t>
      </w:r>
    </w:p>
  </w:footnote>
  <w:footnote w:id="7">
    <w:p w:rsidR="000F528F" w:rsidRDefault="000F528F" w:rsidP="00125435">
      <w:pPr>
        <w:pStyle w:val="FootnoteText"/>
      </w:pPr>
      <w:r>
        <w:rPr>
          <w:rStyle w:val="FootnoteReference"/>
        </w:rPr>
        <w:footnoteRef/>
      </w:r>
      <w:r>
        <w:t xml:space="preserve"> A Community Development approach means that local residents rather than the State, Local State or statutory organisations leads in identifying ‘problems’ and finding solutions.</w:t>
      </w:r>
    </w:p>
  </w:footnote>
  <w:footnote w:id="8">
    <w:p w:rsidR="000F528F" w:rsidRPr="003E106A" w:rsidRDefault="000F528F" w:rsidP="00125435">
      <w:pPr>
        <w:rPr>
          <w:sz w:val="18"/>
          <w:szCs w:val="18"/>
        </w:rPr>
      </w:pPr>
      <w:r>
        <w:rPr>
          <w:rStyle w:val="FootnoteReference"/>
        </w:rPr>
        <w:footnoteRef/>
      </w:r>
      <w:r>
        <w:t xml:space="preserve"> </w:t>
      </w:r>
      <w:r w:rsidRPr="000359A4">
        <w:rPr>
          <w:sz w:val="18"/>
          <w:szCs w:val="18"/>
        </w:rPr>
        <w:t>10% of Battersea</w:t>
      </w:r>
      <w:r>
        <w:rPr>
          <w:sz w:val="18"/>
          <w:szCs w:val="18"/>
        </w:rPr>
        <w:t>’s population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FB" w:rsidRDefault="006F0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8F" w:rsidRDefault="000F5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72"/>
      <w:docPartObj>
        <w:docPartGallery w:val="Watermarks"/>
        <w:docPartUnique/>
      </w:docPartObj>
    </w:sdtPr>
    <w:sdtContent>
      <w:p w:rsidR="006F03FB" w:rsidRDefault="006F03FB">
        <w:pPr>
          <w:pStyle w:val="Header"/>
        </w:pPr>
        <w:r w:rsidRPr="00DC441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355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DC6"/>
    <w:multiLevelType w:val="hybridMultilevel"/>
    <w:tmpl w:val="61A46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24021"/>
    <w:multiLevelType w:val="hybridMultilevel"/>
    <w:tmpl w:val="F21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258E1"/>
    <w:multiLevelType w:val="hybridMultilevel"/>
    <w:tmpl w:val="F018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107ADD"/>
    <w:multiLevelType w:val="hybridMultilevel"/>
    <w:tmpl w:val="8A1CBE88"/>
    <w:lvl w:ilvl="0" w:tplc="FACCE64C">
      <w:start w:val="2019"/>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B4E4FDC"/>
    <w:multiLevelType w:val="hybridMultilevel"/>
    <w:tmpl w:val="19FAF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47C41"/>
    <w:multiLevelType w:val="multilevel"/>
    <w:tmpl w:val="DDB286D0"/>
    <w:lvl w:ilvl="0">
      <w:start w:val="1"/>
      <w:numFmt w:val="decimal"/>
      <w:lvlText w:val="%1."/>
      <w:lvlJc w:val="left"/>
      <w:pPr>
        <w:ind w:left="360" w:hanging="360"/>
      </w:pPr>
      <w:rPr>
        <w:rFonts w:hint="default"/>
      </w:rPr>
    </w:lvl>
    <w:lvl w:ilvl="1">
      <w:start w:val="1"/>
      <w:numFmt w:val="decimal"/>
      <w:isLgl/>
      <w:lvlText w:val="%1.%2"/>
      <w:lvlJc w:val="left"/>
      <w:pPr>
        <w:ind w:left="340" w:hanging="3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FA73F0F"/>
    <w:multiLevelType w:val="multilevel"/>
    <w:tmpl w:val="EB8E66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7">
    <w:nsid w:val="152431EC"/>
    <w:multiLevelType w:val="hybridMultilevel"/>
    <w:tmpl w:val="ECC6EA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68B7F7C"/>
    <w:multiLevelType w:val="hybridMultilevel"/>
    <w:tmpl w:val="3ED4AA1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84C55"/>
    <w:multiLevelType w:val="hybridMultilevel"/>
    <w:tmpl w:val="390830DE"/>
    <w:lvl w:ilvl="0" w:tplc="ABECF734">
      <w:start w:val="1"/>
      <w:numFmt w:val="decimal"/>
      <w:lvlText w:val="%1.1 "/>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5E1E5B"/>
    <w:multiLevelType w:val="hybridMultilevel"/>
    <w:tmpl w:val="627239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C34E9D"/>
    <w:multiLevelType w:val="hybridMultilevel"/>
    <w:tmpl w:val="4F40E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924FC"/>
    <w:multiLevelType w:val="hybridMultilevel"/>
    <w:tmpl w:val="0450AB40"/>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36325A"/>
    <w:multiLevelType w:val="multilevel"/>
    <w:tmpl w:val="F126D832"/>
    <w:lvl w:ilvl="0">
      <w:start w:val="1"/>
      <w:numFmt w:val="lowerLetter"/>
      <w:lvlText w:val="%1)"/>
      <w:lvlJc w:val="left"/>
      <w:pPr>
        <w:ind w:left="360" w:hanging="360"/>
      </w:pPr>
      <w:rPr>
        <w:rFonts w:ascii="Calibri" w:eastAsiaTheme="minorHAns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800696"/>
    <w:multiLevelType w:val="hybridMultilevel"/>
    <w:tmpl w:val="C502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24426F"/>
    <w:multiLevelType w:val="hybridMultilevel"/>
    <w:tmpl w:val="D2E419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656C52"/>
    <w:multiLevelType w:val="hybridMultilevel"/>
    <w:tmpl w:val="BBF070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FD34CC"/>
    <w:multiLevelType w:val="hybridMultilevel"/>
    <w:tmpl w:val="5E4264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CC5619"/>
    <w:multiLevelType w:val="hybridMultilevel"/>
    <w:tmpl w:val="4FC6CD9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51E724A"/>
    <w:multiLevelType w:val="hybridMultilevel"/>
    <w:tmpl w:val="B84827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37575563"/>
    <w:multiLevelType w:val="multilevel"/>
    <w:tmpl w:val="3C54BFEE"/>
    <w:lvl w:ilvl="0">
      <w:start w:val="1"/>
      <w:numFmt w:val="decimal"/>
      <w:lvlText w:val="%1."/>
      <w:lvlJc w:val="left"/>
      <w:pPr>
        <w:ind w:left="36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4B29A3"/>
    <w:multiLevelType w:val="hybridMultilevel"/>
    <w:tmpl w:val="208E4960"/>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3AA74870"/>
    <w:multiLevelType w:val="hybridMultilevel"/>
    <w:tmpl w:val="78A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CB74CC"/>
    <w:multiLevelType w:val="hybridMultilevel"/>
    <w:tmpl w:val="06DC98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035A10"/>
    <w:multiLevelType w:val="hybridMultilevel"/>
    <w:tmpl w:val="E07440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41715A67"/>
    <w:multiLevelType w:val="hybridMultilevel"/>
    <w:tmpl w:val="DCF641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47F6E4B"/>
    <w:multiLevelType w:val="hybridMultilevel"/>
    <w:tmpl w:val="F35250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44D032F5"/>
    <w:multiLevelType w:val="multilevel"/>
    <w:tmpl w:val="44887C64"/>
    <w:lvl w:ilvl="0">
      <w:start w:val="2"/>
      <w:numFmt w:val="decimal"/>
      <w:lvlText w:val="%1"/>
      <w:lvlJc w:val="left"/>
      <w:pPr>
        <w:ind w:left="390" w:hanging="39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516" w:hanging="108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390" w:hanging="1800"/>
      </w:pPr>
      <w:rPr>
        <w:rFonts w:hint="default"/>
      </w:rPr>
    </w:lvl>
    <w:lvl w:ilvl="6">
      <w:start w:val="1"/>
      <w:numFmt w:val="decimal"/>
      <w:lvlText w:val="%1.%2.%3.%4.%5.%6.%7"/>
      <w:lvlJc w:val="left"/>
      <w:pPr>
        <w:ind w:left="6468" w:hanging="2160"/>
      </w:pPr>
      <w:rPr>
        <w:rFonts w:hint="default"/>
      </w:rPr>
    </w:lvl>
    <w:lvl w:ilvl="7">
      <w:start w:val="1"/>
      <w:numFmt w:val="decimal"/>
      <w:lvlText w:val="%1.%2.%3.%4.%5.%6.%7.%8"/>
      <w:lvlJc w:val="left"/>
      <w:pPr>
        <w:ind w:left="7546" w:hanging="2520"/>
      </w:pPr>
      <w:rPr>
        <w:rFonts w:hint="default"/>
      </w:rPr>
    </w:lvl>
    <w:lvl w:ilvl="8">
      <w:start w:val="1"/>
      <w:numFmt w:val="decimal"/>
      <w:lvlText w:val="%1.%2.%3.%4.%5.%6.%7.%8.%9"/>
      <w:lvlJc w:val="left"/>
      <w:pPr>
        <w:ind w:left="8264" w:hanging="2520"/>
      </w:pPr>
      <w:rPr>
        <w:rFonts w:hint="default"/>
      </w:rPr>
    </w:lvl>
  </w:abstractNum>
  <w:abstractNum w:abstractNumId="28">
    <w:nsid w:val="46002852"/>
    <w:multiLevelType w:val="hybridMultilevel"/>
    <w:tmpl w:val="21E0CF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nsid w:val="485A6BB9"/>
    <w:multiLevelType w:val="multilevel"/>
    <w:tmpl w:val="DA84A2FA"/>
    <w:lvl w:ilvl="0">
      <w:start w:val="1"/>
      <w:numFmt w:val="bullet"/>
      <w:lvlText w:val=""/>
      <w:lvlJc w:val="left"/>
      <w:pPr>
        <w:tabs>
          <w:tab w:val="num" w:pos="1571"/>
        </w:tabs>
        <w:ind w:left="1571" w:hanging="360"/>
      </w:pPr>
      <w:rPr>
        <w:rFonts w:ascii="Symbol" w:hAnsi="Symbol" w:hint="default"/>
        <w:sz w:val="20"/>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30">
    <w:nsid w:val="49866FBF"/>
    <w:multiLevelType w:val="multilevel"/>
    <w:tmpl w:val="5DB434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B51218B"/>
    <w:multiLevelType w:val="hybridMultilevel"/>
    <w:tmpl w:val="07AE006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B75115D"/>
    <w:multiLevelType w:val="hybridMultilevel"/>
    <w:tmpl w:val="B4EAFD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FF4681"/>
    <w:multiLevelType w:val="hybridMultilevel"/>
    <w:tmpl w:val="81C614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CB33686"/>
    <w:multiLevelType w:val="hybridMultilevel"/>
    <w:tmpl w:val="E77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3B7937"/>
    <w:multiLevelType w:val="hybridMultilevel"/>
    <w:tmpl w:val="0BDA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1415B0"/>
    <w:multiLevelType w:val="hybridMultilevel"/>
    <w:tmpl w:val="81563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45912DF"/>
    <w:multiLevelType w:val="multilevel"/>
    <w:tmpl w:val="3A46FDF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8">
    <w:nsid w:val="59FE1DC4"/>
    <w:multiLevelType w:val="hybridMultilevel"/>
    <w:tmpl w:val="47668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5B1B5EFF"/>
    <w:multiLevelType w:val="hybridMultilevel"/>
    <w:tmpl w:val="3E2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8E2DB4"/>
    <w:multiLevelType w:val="hybridMultilevel"/>
    <w:tmpl w:val="2FF88E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606E2BC6"/>
    <w:multiLevelType w:val="hybridMultilevel"/>
    <w:tmpl w:val="22F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AA5D0D"/>
    <w:multiLevelType w:val="hybridMultilevel"/>
    <w:tmpl w:val="E70A2F9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nsid w:val="633230A2"/>
    <w:multiLevelType w:val="hybridMultilevel"/>
    <w:tmpl w:val="D85A9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6263AC"/>
    <w:multiLevelType w:val="hybridMultilevel"/>
    <w:tmpl w:val="F6D0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1482292"/>
    <w:multiLevelType w:val="hybridMultilevel"/>
    <w:tmpl w:val="CED69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54F3BA0"/>
    <w:multiLevelType w:val="hybridMultilevel"/>
    <w:tmpl w:val="32C88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nsid w:val="7C4E101B"/>
    <w:multiLevelType w:val="hybridMultilevel"/>
    <w:tmpl w:val="13400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427BCD"/>
    <w:multiLevelType w:val="hybridMultilevel"/>
    <w:tmpl w:val="78027A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C33A8E"/>
    <w:multiLevelType w:val="multilevel"/>
    <w:tmpl w:val="5CDCD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num w:numId="1">
    <w:abstractNumId w:val="4"/>
  </w:num>
  <w:num w:numId="2">
    <w:abstractNumId w:val="46"/>
  </w:num>
  <w:num w:numId="3">
    <w:abstractNumId w:val="19"/>
  </w:num>
  <w:num w:numId="4">
    <w:abstractNumId w:val="24"/>
  </w:num>
  <w:num w:numId="5">
    <w:abstractNumId w:val="40"/>
  </w:num>
  <w:num w:numId="6">
    <w:abstractNumId w:val="26"/>
  </w:num>
  <w:num w:numId="7">
    <w:abstractNumId w:val="2"/>
  </w:num>
  <w:num w:numId="8">
    <w:abstractNumId w:val="47"/>
  </w:num>
  <w:num w:numId="9">
    <w:abstractNumId w:val="5"/>
  </w:num>
  <w:num w:numId="10">
    <w:abstractNumId w:val="36"/>
  </w:num>
  <w:num w:numId="11">
    <w:abstractNumId w:val="20"/>
  </w:num>
  <w:num w:numId="12">
    <w:abstractNumId w:val="23"/>
  </w:num>
  <w:num w:numId="13">
    <w:abstractNumId w:val="10"/>
  </w:num>
  <w:num w:numId="14">
    <w:abstractNumId w:val="44"/>
  </w:num>
  <w:num w:numId="15">
    <w:abstractNumId w:val="43"/>
  </w:num>
  <w:num w:numId="16">
    <w:abstractNumId w:val="16"/>
  </w:num>
  <w:num w:numId="17">
    <w:abstractNumId w:val="15"/>
  </w:num>
  <w:num w:numId="18">
    <w:abstractNumId w:val="41"/>
  </w:num>
  <w:num w:numId="19">
    <w:abstractNumId w:val="14"/>
  </w:num>
  <w:num w:numId="20">
    <w:abstractNumId w:val="33"/>
  </w:num>
  <w:num w:numId="21">
    <w:abstractNumId w:val="17"/>
  </w:num>
  <w:num w:numId="22">
    <w:abstractNumId w:val="48"/>
  </w:num>
  <w:num w:numId="23">
    <w:abstractNumId w:val="12"/>
  </w:num>
  <w:num w:numId="24">
    <w:abstractNumId w:val="32"/>
  </w:num>
  <w:num w:numId="25">
    <w:abstractNumId w:val="13"/>
  </w:num>
  <w:num w:numId="26">
    <w:abstractNumId w:val="22"/>
  </w:num>
  <w:num w:numId="27">
    <w:abstractNumId w:val="11"/>
  </w:num>
  <w:num w:numId="28">
    <w:abstractNumId w:val="34"/>
  </w:num>
  <w:num w:numId="29">
    <w:abstractNumId w:val="35"/>
  </w:num>
  <w:num w:numId="30">
    <w:abstractNumId w:val="39"/>
  </w:num>
  <w:num w:numId="31">
    <w:abstractNumId w:val="0"/>
  </w:num>
  <w:num w:numId="32">
    <w:abstractNumId w:val="49"/>
  </w:num>
  <w:num w:numId="33">
    <w:abstractNumId w:val="8"/>
  </w:num>
  <w:num w:numId="34">
    <w:abstractNumId w:val="42"/>
  </w:num>
  <w:num w:numId="35">
    <w:abstractNumId w:val="9"/>
  </w:num>
  <w:num w:numId="36">
    <w:abstractNumId w:val="18"/>
  </w:num>
  <w:num w:numId="37">
    <w:abstractNumId w:val="30"/>
  </w:num>
  <w:num w:numId="38">
    <w:abstractNumId w:val="7"/>
  </w:num>
  <w:num w:numId="39">
    <w:abstractNumId w:val="25"/>
  </w:num>
  <w:num w:numId="40">
    <w:abstractNumId w:val="31"/>
  </w:num>
  <w:num w:numId="41">
    <w:abstractNumId w:val="6"/>
  </w:num>
  <w:num w:numId="42">
    <w:abstractNumId w:val="27"/>
  </w:num>
  <w:num w:numId="43">
    <w:abstractNumId w:val="3"/>
  </w:num>
  <w:num w:numId="44">
    <w:abstractNumId w:val="21"/>
  </w:num>
  <w:num w:numId="45">
    <w:abstractNumId w:val="28"/>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
  </w:num>
  <w:num w:numId="49">
    <w:abstractNumId w:val="45"/>
  </w:num>
  <w:num w:numId="50">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8"/>
    <o:shapelayout v:ext="edit">
      <o:idmap v:ext="edit" data="23"/>
    </o:shapelayout>
  </w:hdrShapeDefaults>
  <w:footnotePr>
    <w:footnote w:id="-1"/>
    <w:footnote w:id="0"/>
  </w:footnotePr>
  <w:endnotePr>
    <w:endnote w:id="-1"/>
    <w:endnote w:id="0"/>
  </w:endnotePr>
  <w:compat/>
  <w:rsids>
    <w:rsidRoot w:val="009071AF"/>
    <w:rsid w:val="00011BB7"/>
    <w:rsid w:val="00012EC3"/>
    <w:rsid w:val="000412AC"/>
    <w:rsid w:val="00062886"/>
    <w:rsid w:val="00063A7C"/>
    <w:rsid w:val="00064D7A"/>
    <w:rsid w:val="00066A33"/>
    <w:rsid w:val="0007090C"/>
    <w:rsid w:val="00071FB4"/>
    <w:rsid w:val="0007721A"/>
    <w:rsid w:val="00085EE5"/>
    <w:rsid w:val="000901C7"/>
    <w:rsid w:val="000A1BC6"/>
    <w:rsid w:val="000B0139"/>
    <w:rsid w:val="000C4718"/>
    <w:rsid w:val="000D10F3"/>
    <w:rsid w:val="000D3C93"/>
    <w:rsid w:val="000D72B4"/>
    <w:rsid w:val="000E2370"/>
    <w:rsid w:val="000E30DB"/>
    <w:rsid w:val="000F0E5E"/>
    <w:rsid w:val="000F4A69"/>
    <w:rsid w:val="000F528F"/>
    <w:rsid w:val="0010041F"/>
    <w:rsid w:val="0012501A"/>
    <w:rsid w:val="00125435"/>
    <w:rsid w:val="0012726D"/>
    <w:rsid w:val="00141096"/>
    <w:rsid w:val="00157CD0"/>
    <w:rsid w:val="00157D11"/>
    <w:rsid w:val="00165428"/>
    <w:rsid w:val="0016703F"/>
    <w:rsid w:val="00172144"/>
    <w:rsid w:val="001751FA"/>
    <w:rsid w:val="001830B5"/>
    <w:rsid w:val="00185931"/>
    <w:rsid w:val="0019494D"/>
    <w:rsid w:val="001A6F37"/>
    <w:rsid w:val="001B6C45"/>
    <w:rsid w:val="001D385C"/>
    <w:rsid w:val="001F4C60"/>
    <w:rsid w:val="001F5D57"/>
    <w:rsid w:val="00200467"/>
    <w:rsid w:val="0020726F"/>
    <w:rsid w:val="00210586"/>
    <w:rsid w:val="00210E86"/>
    <w:rsid w:val="00213CC9"/>
    <w:rsid w:val="002164B5"/>
    <w:rsid w:val="00222B68"/>
    <w:rsid w:val="002365E3"/>
    <w:rsid w:val="00240B8B"/>
    <w:rsid w:val="002477D1"/>
    <w:rsid w:val="00255ACC"/>
    <w:rsid w:val="002560C2"/>
    <w:rsid w:val="00256C6B"/>
    <w:rsid w:val="00265123"/>
    <w:rsid w:val="00282816"/>
    <w:rsid w:val="0029168C"/>
    <w:rsid w:val="002917AD"/>
    <w:rsid w:val="00293445"/>
    <w:rsid w:val="002A3EE8"/>
    <w:rsid w:val="002A5F31"/>
    <w:rsid w:val="002A6B77"/>
    <w:rsid w:val="002A6FE1"/>
    <w:rsid w:val="002B4A06"/>
    <w:rsid w:val="002B7256"/>
    <w:rsid w:val="002C24DC"/>
    <w:rsid w:val="002D5A79"/>
    <w:rsid w:val="002D5C4B"/>
    <w:rsid w:val="0030181D"/>
    <w:rsid w:val="003030A2"/>
    <w:rsid w:val="0031228B"/>
    <w:rsid w:val="00324F6F"/>
    <w:rsid w:val="0033328C"/>
    <w:rsid w:val="003441FE"/>
    <w:rsid w:val="003459A9"/>
    <w:rsid w:val="00356859"/>
    <w:rsid w:val="00360379"/>
    <w:rsid w:val="003620C2"/>
    <w:rsid w:val="00362E77"/>
    <w:rsid w:val="00376BC8"/>
    <w:rsid w:val="003864F1"/>
    <w:rsid w:val="00390E6C"/>
    <w:rsid w:val="0039403E"/>
    <w:rsid w:val="003A6488"/>
    <w:rsid w:val="003B6814"/>
    <w:rsid w:val="003C2305"/>
    <w:rsid w:val="003D4271"/>
    <w:rsid w:val="003E1FB4"/>
    <w:rsid w:val="003E3787"/>
    <w:rsid w:val="003F4D0E"/>
    <w:rsid w:val="00413A70"/>
    <w:rsid w:val="004213D5"/>
    <w:rsid w:val="004230C5"/>
    <w:rsid w:val="00431ABD"/>
    <w:rsid w:val="00445F82"/>
    <w:rsid w:val="00454009"/>
    <w:rsid w:val="00455545"/>
    <w:rsid w:val="00465B02"/>
    <w:rsid w:val="00477B62"/>
    <w:rsid w:val="004916C1"/>
    <w:rsid w:val="00494E4B"/>
    <w:rsid w:val="00496973"/>
    <w:rsid w:val="004A3490"/>
    <w:rsid w:val="004A40BE"/>
    <w:rsid w:val="004A5AC5"/>
    <w:rsid w:val="004B66A9"/>
    <w:rsid w:val="004D360E"/>
    <w:rsid w:val="004D51E4"/>
    <w:rsid w:val="004D525D"/>
    <w:rsid w:val="004D7298"/>
    <w:rsid w:val="004E703B"/>
    <w:rsid w:val="004E791D"/>
    <w:rsid w:val="00517E43"/>
    <w:rsid w:val="005256AF"/>
    <w:rsid w:val="0053135F"/>
    <w:rsid w:val="00553DEC"/>
    <w:rsid w:val="00563C9D"/>
    <w:rsid w:val="00581908"/>
    <w:rsid w:val="00587FDA"/>
    <w:rsid w:val="005A64E2"/>
    <w:rsid w:val="005C4FD7"/>
    <w:rsid w:val="005D6522"/>
    <w:rsid w:val="005E0170"/>
    <w:rsid w:val="005E3501"/>
    <w:rsid w:val="005F3A6F"/>
    <w:rsid w:val="005F426D"/>
    <w:rsid w:val="005F70B9"/>
    <w:rsid w:val="0060491F"/>
    <w:rsid w:val="00605008"/>
    <w:rsid w:val="00606440"/>
    <w:rsid w:val="006103E4"/>
    <w:rsid w:val="00616600"/>
    <w:rsid w:val="006521D9"/>
    <w:rsid w:val="00661661"/>
    <w:rsid w:val="006709C2"/>
    <w:rsid w:val="00682FE0"/>
    <w:rsid w:val="00693CE8"/>
    <w:rsid w:val="00697CF4"/>
    <w:rsid w:val="006A609F"/>
    <w:rsid w:val="006D27C0"/>
    <w:rsid w:val="006E56EB"/>
    <w:rsid w:val="006F03FB"/>
    <w:rsid w:val="0070022E"/>
    <w:rsid w:val="00700C69"/>
    <w:rsid w:val="00730E3B"/>
    <w:rsid w:val="0074216F"/>
    <w:rsid w:val="0075151E"/>
    <w:rsid w:val="007536C9"/>
    <w:rsid w:val="00763E68"/>
    <w:rsid w:val="00777DC3"/>
    <w:rsid w:val="0078553A"/>
    <w:rsid w:val="0078567B"/>
    <w:rsid w:val="007856AA"/>
    <w:rsid w:val="00787EC8"/>
    <w:rsid w:val="00794E18"/>
    <w:rsid w:val="007976C0"/>
    <w:rsid w:val="007A198C"/>
    <w:rsid w:val="007A6CBC"/>
    <w:rsid w:val="007C06CA"/>
    <w:rsid w:val="007C1AB6"/>
    <w:rsid w:val="007C5081"/>
    <w:rsid w:val="007C7C24"/>
    <w:rsid w:val="007E05DB"/>
    <w:rsid w:val="007F1F7D"/>
    <w:rsid w:val="007F2C3E"/>
    <w:rsid w:val="00800BAA"/>
    <w:rsid w:val="00815943"/>
    <w:rsid w:val="008942C3"/>
    <w:rsid w:val="008B3E9F"/>
    <w:rsid w:val="008C764C"/>
    <w:rsid w:val="008D1FF9"/>
    <w:rsid w:val="008D3B51"/>
    <w:rsid w:val="008D69B7"/>
    <w:rsid w:val="008E5D2D"/>
    <w:rsid w:val="008F72C9"/>
    <w:rsid w:val="009071AF"/>
    <w:rsid w:val="0091280A"/>
    <w:rsid w:val="00913DB0"/>
    <w:rsid w:val="00915152"/>
    <w:rsid w:val="009225DB"/>
    <w:rsid w:val="009242A2"/>
    <w:rsid w:val="009438F5"/>
    <w:rsid w:val="00964D62"/>
    <w:rsid w:val="0097300A"/>
    <w:rsid w:val="009B2586"/>
    <w:rsid w:val="009B4493"/>
    <w:rsid w:val="009C05A4"/>
    <w:rsid w:val="009C4EC7"/>
    <w:rsid w:val="009D488B"/>
    <w:rsid w:val="009D6B73"/>
    <w:rsid w:val="009F2F15"/>
    <w:rsid w:val="009F4A6A"/>
    <w:rsid w:val="009F5D84"/>
    <w:rsid w:val="009F72DD"/>
    <w:rsid w:val="00A07F5D"/>
    <w:rsid w:val="00A13893"/>
    <w:rsid w:val="00A2642E"/>
    <w:rsid w:val="00A32CFF"/>
    <w:rsid w:val="00A35BA4"/>
    <w:rsid w:val="00A44672"/>
    <w:rsid w:val="00A44742"/>
    <w:rsid w:val="00A46A3C"/>
    <w:rsid w:val="00A5213B"/>
    <w:rsid w:val="00A525FD"/>
    <w:rsid w:val="00A63CBE"/>
    <w:rsid w:val="00A65809"/>
    <w:rsid w:val="00A67572"/>
    <w:rsid w:val="00A84611"/>
    <w:rsid w:val="00AA5992"/>
    <w:rsid w:val="00AB28C5"/>
    <w:rsid w:val="00AD18A4"/>
    <w:rsid w:val="00AD1DCF"/>
    <w:rsid w:val="00AD500B"/>
    <w:rsid w:val="00AF4FAD"/>
    <w:rsid w:val="00B03498"/>
    <w:rsid w:val="00B23EA7"/>
    <w:rsid w:val="00B6688E"/>
    <w:rsid w:val="00B935C6"/>
    <w:rsid w:val="00B977AC"/>
    <w:rsid w:val="00BA1E30"/>
    <w:rsid w:val="00BA4174"/>
    <w:rsid w:val="00BB2B9E"/>
    <w:rsid w:val="00BC76A3"/>
    <w:rsid w:val="00BE270A"/>
    <w:rsid w:val="00BF40FF"/>
    <w:rsid w:val="00C0136A"/>
    <w:rsid w:val="00C077BE"/>
    <w:rsid w:val="00C13E5B"/>
    <w:rsid w:val="00C233E6"/>
    <w:rsid w:val="00C25B95"/>
    <w:rsid w:val="00C277DF"/>
    <w:rsid w:val="00C32EE1"/>
    <w:rsid w:val="00C37294"/>
    <w:rsid w:val="00C63A85"/>
    <w:rsid w:val="00C7238F"/>
    <w:rsid w:val="00C83EB2"/>
    <w:rsid w:val="00C901F1"/>
    <w:rsid w:val="00CA1308"/>
    <w:rsid w:val="00CA20D8"/>
    <w:rsid w:val="00CA4FC0"/>
    <w:rsid w:val="00CC3D18"/>
    <w:rsid w:val="00CC7A78"/>
    <w:rsid w:val="00CD4A4E"/>
    <w:rsid w:val="00CE2B20"/>
    <w:rsid w:val="00CE5165"/>
    <w:rsid w:val="00D177DC"/>
    <w:rsid w:val="00D20633"/>
    <w:rsid w:val="00D22E33"/>
    <w:rsid w:val="00D27064"/>
    <w:rsid w:val="00D2730C"/>
    <w:rsid w:val="00D27807"/>
    <w:rsid w:val="00D350A3"/>
    <w:rsid w:val="00D452EB"/>
    <w:rsid w:val="00D46E8A"/>
    <w:rsid w:val="00D50D61"/>
    <w:rsid w:val="00D635E4"/>
    <w:rsid w:val="00D77331"/>
    <w:rsid w:val="00D832AB"/>
    <w:rsid w:val="00D83511"/>
    <w:rsid w:val="00D83CB4"/>
    <w:rsid w:val="00D87CB2"/>
    <w:rsid w:val="00D904F8"/>
    <w:rsid w:val="00DA136E"/>
    <w:rsid w:val="00DA1538"/>
    <w:rsid w:val="00DA249B"/>
    <w:rsid w:val="00DA583C"/>
    <w:rsid w:val="00DB151C"/>
    <w:rsid w:val="00DC5DCE"/>
    <w:rsid w:val="00DE426A"/>
    <w:rsid w:val="00DF05A3"/>
    <w:rsid w:val="00DF5563"/>
    <w:rsid w:val="00E02AA8"/>
    <w:rsid w:val="00E16774"/>
    <w:rsid w:val="00E26323"/>
    <w:rsid w:val="00E4001A"/>
    <w:rsid w:val="00E5494F"/>
    <w:rsid w:val="00E55930"/>
    <w:rsid w:val="00E61FD9"/>
    <w:rsid w:val="00E71432"/>
    <w:rsid w:val="00E7174E"/>
    <w:rsid w:val="00E71EF7"/>
    <w:rsid w:val="00E724DC"/>
    <w:rsid w:val="00EA0147"/>
    <w:rsid w:val="00EA7920"/>
    <w:rsid w:val="00EB01C0"/>
    <w:rsid w:val="00EB10AC"/>
    <w:rsid w:val="00EB18FA"/>
    <w:rsid w:val="00EB45B4"/>
    <w:rsid w:val="00F0259D"/>
    <w:rsid w:val="00F038DE"/>
    <w:rsid w:val="00F14C85"/>
    <w:rsid w:val="00F32500"/>
    <w:rsid w:val="00F4663A"/>
    <w:rsid w:val="00F65499"/>
    <w:rsid w:val="00F76006"/>
    <w:rsid w:val="00F8493D"/>
    <w:rsid w:val="00FC4DE9"/>
    <w:rsid w:val="00FC7735"/>
    <w:rsid w:val="00FE6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64"/>
    <w:rPr>
      <w:rFonts w:ascii="Verdana" w:hAnsi="Verdana"/>
      <w:sz w:val="24"/>
    </w:rPr>
  </w:style>
  <w:style w:type="paragraph" w:styleId="Heading1">
    <w:name w:val="heading 1"/>
    <w:basedOn w:val="Normal"/>
    <w:next w:val="Normal"/>
    <w:link w:val="Heading1Char"/>
    <w:uiPriority w:val="9"/>
    <w:qFormat/>
    <w:rsid w:val="00AB2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E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65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F"/>
    <w:rPr>
      <w:rFonts w:ascii="Tahoma" w:hAnsi="Tahoma" w:cs="Tahoma"/>
      <w:sz w:val="16"/>
      <w:szCs w:val="16"/>
    </w:rPr>
  </w:style>
  <w:style w:type="paragraph" w:styleId="ListParagraph">
    <w:name w:val="List Paragraph"/>
    <w:basedOn w:val="Normal"/>
    <w:uiPriority w:val="34"/>
    <w:qFormat/>
    <w:rsid w:val="009071AF"/>
    <w:pPr>
      <w:ind w:left="720"/>
      <w:contextualSpacing/>
    </w:pPr>
  </w:style>
  <w:style w:type="character" w:customStyle="1" w:styleId="Heading2Char">
    <w:name w:val="Heading 2 Char"/>
    <w:basedOn w:val="DefaultParagraphFont"/>
    <w:link w:val="Heading2"/>
    <w:uiPriority w:val="9"/>
    <w:rsid w:val="001F5D5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D360E"/>
    <w:pPr>
      <w:spacing w:after="0" w:line="240" w:lineRule="auto"/>
    </w:pPr>
    <w:rPr>
      <w:sz w:val="20"/>
      <w:szCs w:val="20"/>
    </w:rPr>
  </w:style>
  <w:style w:type="character" w:customStyle="1" w:styleId="FootnoteTextChar">
    <w:name w:val="Footnote Text Char"/>
    <w:basedOn w:val="DefaultParagraphFont"/>
    <w:link w:val="FootnoteText"/>
    <w:uiPriority w:val="99"/>
    <w:rsid w:val="004D360E"/>
    <w:rPr>
      <w:rFonts w:ascii="Verdana" w:hAnsi="Verdana"/>
      <w:sz w:val="20"/>
      <w:szCs w:val="20"/>
    </w:rPr>
  </w:style>
  <w:style w:type="character" w:styleId="FootnoteReference">
    <w:name w:val="footnote reference"/>
    <w:basedOn w:val="DefaultParagraphFont"/>
    <w:uiPriority w:val="99"/>
    <w:semiHidden/>
    <w:unhideWhenUsed/>
    <w:rsid w:val="004D360E"/>
    <w:rPr>
      <w:vertAlign w:val="superscript"/>
    </w:rPr>
  </w:style>
  <w:style w:type="character" w:customStyle="1" w:styleId="Heading1Char">
    <w:name w:val="Heading 1 Char"/>
    <w:basedOn w:val="DefaultParagraphFont"/>
    <w:link w:val="Heading1"/>
    <w:uiPriority w:val="9"/>
    <w:rsid w:val="00AB28C5"/>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D7298"/>
    <w:pPr>
      <w:spacing w:after="0" w:line="240" w:lineRule="auto"/>
    </w:pPr>
    <w:rPr>
      <w:rFonts w:ascii="Verdana" w:hAnsi="Verdana"/>
      <w:sz w:val="24"/>
    </w:rPr>
  </w:style>
  <w:style w:type="character" w:styleId="Hyperlink">
    <w:name w:val="Hyperlink"/>
    <w:basedOn w:val="DefaultParagraphFont"/>
    <w:uiPriority w:val="99"/>
    <w:unhideWhenUsed/>
    <w:rsid w:val="00E55930"/>
    <w:rPr>
      <w:color w:val="0000FF"/>
      <w:u w:val="single"/>
    </w:rPr>
  </w:style>
  <w:style w:type="paragraph" w:styleId="Header">
    <w:name w:val="header"/>
    <w:basedOn w:val="Normal"/>
    <w:link w:val="HeaderChar"/>
    <w:uiPriority w:val="99"/>
    <w:unhideWhenUsed/>
    <w:rsid w:val="00CC3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18"/>
    <w:rPr>
      <w:rFonts w:ascii="Verdana" w:hAnsi="Verdana"/>
      <w:sz w:val="24"/>
    </w:rPr>
  </w:style>
  <w:style w:type="paragraph" w:styleId="Footer">
    <w:name w:val="footer"/>
    <w:basedOn w:val="Normal"/>
    <w:link w:val="FooterChar"/>
    <w:uiPriority w:val="99"/>
    <w:unhideWhenUsed/>
    <w:rsid w:val="00CC3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18"/>
    <w:rPr>
      <w:rFonts w:ascii="Verdana" w:hAnsi="Verdana"/>
      <w:sz w:val="24"/>
    </w:rPr>
  </w:style>
  <w:style w:type="table" w:styleId="TableGrid">
    <w:name w:val="Table Grid"/>
    <w:basedOn w:val="TableNormal"/>
    <w:uiPriority w:val="59"/>
    <w:rsid w:val="00E6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1FD9"/>
    <w:rPr>
      <w:b/>
      <w:bCs/>
    </w:rPr>
  </w:style>
  <w:style w:type="character" w:customStyle="1" w:styleId="Heading3Char">
    <w:name w:val="Heading 3 Char"/>
    <w:basedOn w:val="DefaultParagraphFont"/>
    <w:link w:val="Heading3"/>
    <w:uiPriority w:val="9"/>
    <w:rsid w:val="00085EE5"/>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uiPriority w:val="99"/>
    <w:semiHidden/>
    <w:unhideWhenUsed/>
    <w:rsid w:val="00DB151C"/>
    <w:rPr>
      <w:color w:val="800080" w:themeColor="followedHyperlink"/>
      <w:u w:val="single"/>
    </w:rPr>
  </w:style>
  <w:style w:type="character" w:customStyle="1" w:styleId="Heading4Char">
    <w:name w:val="Heading 4 Char"/>
    <w:basedOn w:val="DefaultParagraphFont"/>
    <w:link w:val="Heading4"/>
    <w:uiPriority w:val="9"/>
    <w:rsid w:val="005D652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5D6522"/>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39403E"/>
    <w:pPr>
      <w:spacing w:after="280"/>
    </w:pPr>
    <w:rPr>
      <w:rFonts w:eastAsia="Times New Roman" w:cs="Times New Roman"/>
      <w:spacing w:val="2"/>
      <w:sz w:val="20"/>
      <w:szCs w:val="24"/>
    </w:rPr>
  </w:style>
  <w:style w:type="character" w:customStyle="1" w:styleId="BodyTextChar">
    <w:name w:val="Body Text Char"/>
    <w:basedOn w:val="DefaultParagraphFont"/>
    <w:link w:val="BodyText"/>
    <w:rsid w:val="0039403E"/>
    <w:rPr>
      <w:rFonts w:ascii="Verdana" w:eastAsia="Times New Roman" w:hAnsi="Verdana" w:cs="Times New Roman"/>
      <w:spacing w:val="2"/>
      <w:sz w:val="20"/>
      <w:szCs w:val="24"/>
    </w:rPr>
  </w:style>
  <w:style w:type="paragraph" w:styleId="TOCHeading">
    <w:name w:val="TOC Heading"/>
    <w:basedOn w:val="Heading1"/>
    <w:next w:val="Normal"/>
    <w:uiPriority w:val="39"/>
    <w:semiHidden/>
    <w:unhideWhenUsed/>
    <w:qFormat/>
    <w:rsid w:val="004213D5"/>
    <w:pPr>
      <w:outlineLvl w:val="9"/>
    </w:pPr>
    <w:rPr>
      <w:lang w:val="en-US"/>
    </w:rPr>
  </w:style>
  <w:style w:type="paragraph" w:styleId="TOC2">
    <w:name w:val="toc 2"/>
    <w:basedOn w:val="Normal"/>
    <w:next w:val="Normal"/>
    <w:autoRedefine/>
    <w:uiPriority w:val="39"/>
    <w:unhideWhenUsed/>
    <w:rsid w:val="00777DC3"/>
    <w:pPr>
      <w:tabs>
        <w:tab w:val="left" w:pos="709"/>
        <w:tab w:val="right" w:leader="dot" w:pos="9628"/>
      </w:tabs>
      <w:spacing w:after="100"/>
      <w:ind w:left="240"/>
    </w:pPr>
  </w:style>
  <w:style w:type="paragraph" w:styleId="Caption">
    <w:name w:val="caption"/>
    <w:basedOn w:val="Normal"/>
    <w:next w:val="Normal"/>
    <w:uiPriority w:val="35"/>
    <w:unhideWhenUsed/>
    <w:qFormat/>
    <w:rsid w:val="0029168C"/>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977AC"/>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852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aron@klsettlement.org.uk" TargetMode="Externa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iglocalsw11.co.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david@biglocalsw11.co.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klsettlement.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wellbeing/articles/measuringnationalwellbeing/2015-01-29" TargetMode="External"/><Relationship Id="rId2" Type="http://schemas.openxmlformats.org/officeDocument/2006/relationships/hyperlink" Target="https://www.wandsworth.gov.uk/leisure-and-culture/volunteering/voluntary-and-community-sector/" TargetMode="External"/><Relationship Id="rId1" Type="http://schemas.openxmlformats.org/officeDocument/2006/relationships/hyperlink" Target="https://www.taylorwimpey.co.uk/about-us/what-we-do/building-more-than-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0942F-FCC2-48A3-AEB7-943B3F34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5246</Words>
  <Characters>29907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Big Local SW11 Alliance and Winstanley and York Road Joint Venture Partnership </vt:lpstr>
    </vt:vector>
  </TitlesOfParts>
  <Company/>
  <LinksUpToDate>false</LinksUpToDate>
  <CharactersWithSpaces>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Local SW11 Alliance and Winstanley and York Road Joint Venture Partnership</dc:title>
  <dc:subject>Joint Investment  Proposal</dc:subject>
  <dc:creator>DS</dc:creator>
  <cp:lastModifiedBy>David </cp:lastModifiedBy>
  <cp:revision>3</cp:revision>
  <dcterms:created xsi:type="dcterms:W3CDTF">2020-09-21T06:34:00Z</dcterms:created>
  <dcterms:modified xsi:type="dcterms:W3CDTF">2020-09-21T06:45:00Z</dcterms:modified>
</cp:coreProperties>
</file>