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6C" w:rsidRPr="009D38F8" w:rsidRDefault="00161F6C" w:rsidP="00E6104B">
      <w:pPr>
        <w:pStyle w:val="Heading1"/>
        <w:rPr>
          <w:rFonts w:ascii="Verdana" w:hAnsi="Verdana"/>
          <w:b/>
          <w:sz w:val="28"/>
          <w:szCs w:val="28"/>
        </w:rPr>
      </w:pPr>
      <w:r w:rsidRPr="009D38F8">
        <w:rPr>
          <w:rFonts w:ascii="Verdana" w:hAnsi="Verdana"/>
          <w:b/>
          <w:sz w:val="28"/>
          <w:szCs w:val="28"/>
        </w:rPr>
        <w:t>In</w:t>
      </w:r>
      <w:r w:rsidR="00734E92" w:rsidRPr="009D38F8">
        <w:rPr>
          <w:rFonts w:ascii="Verdana" w:hAnsi="Verdana"/>
          <w:b/>
          <w:sz w:val="28"/>
          <w:szCs w:val="28"/>
        </w:rPr>
        <w:t xml:space="preserve">tergenerational </w:t>
      </w:r>
      <w:r w:rsidRPr="009D38F8">
        <w:rPr>
          <w:rFonts w:ascii="Verdana" w:hAnsi="Verdana"/>
          <w:b/>
          <w:sz w:val="28"/>
          <w:szCs w:val="28"/>
        </w:rPr>
        <w:t>Programme – project evaluation</w:t>
      </w:r>
    </w:p>
    <w:p w:rsidR="00E6104B" w:rsidRPr="00D2688F" w:rsidRDefault="00E6104B" w:rsidP="00AA7481">
      <w:pPr>
        <w:tabs>
          <w:tab w:val="left" w:pos="9323"/>
          <w:tab w:val="left" w:pos="11855"/>
        </w:tabs>
        <w:spacing w:after="0" w:line="240" w:lineRule="auto"/>
        <w:ind w:left="426"/>
        <w:rPr>
          <w:rFonts w:ascii="Verdana" w:hAnsi="Verdana"/>
          <w:sz w:val="24"/>
          <w:szCs w:val="24"/>
        </w:rPr>
      </w:pPr>
      <w:r w:rsidRPr="00D2688F">
        <w:rPr>
          <w:rFonts w:ascii="Verdana" w:hAnsi="Verdana" w:cs="Calibri"/>
          <w:color w:val="000000"/>
          <w:sz w:val="24"/>
          <w:szCs w:val="24"/>
        </w:rPr>
        <w:tab/>
      </w:r>
      <w:r w:rsidRPr="00D2688F">
        <w:rPr>
          <w:rFonts w:ascii="Verdana" w:hAnsi="Verdana"/>
          <w:sz w:val="24"/>
          <w:szCs w:val="24"/>
        </w:rPr>
        <w:t xml:space="preserve"> </w:t>
      </w:r>
      <w:r w:rsidRPr="00D2688F">
        <w:rPr>
          <w:rFonts w:ascii="Verdana" w:hAnsi="Verdana" w:cs="Calibri"/>
          <w:color w:val="000000"/>
          <w:sz w:val="24"/>
          <w:szCs w:val="24"/>
        </w:rPr>
        <w:tab/>
      </w:r>
      <w:r w:rsidRPr="00D2688F">
        <w:rPr>
          <w:rFonts w:ascii="Verdana" w:hAnsi="Verdana"/>
          <w:sz w:val="24"/>
          <w:szCs w:val="24"/>
        </w:rPr>
        <w:t xml:space="preserve"> </w:t>
      </w:r>
    </w:p>
    <w:p w:rsidR="00E6104B" w:rsidRDefault="00E6104B" w:rsidP="00E6104B">
      <w:pPr>
        <w:pStyle w:val="Heading2"/>
        <w:spacing w:line="240" w:lineRule="auto"/>
        <w:rPr>
          <w:rFonts w:ascii="Verdana" w:hAnsi="Verdana"/>
          <w:b/>
          <w:sz w:val="24"/>
          <w:szCs w:val="24"/>
        </w:rPr>
      </w:pPr>
      <w:r w:rsidRPr="00E6104B">
        <w:rPr>
          <w:rFonts w:ascii="Verdana" w:hAnsi="Verdana"/>
          <w:b/>
          <w:sz w:val="24"/>
          <w:szCs w:val="24"/>
        </w:rPr>
        <w:t>Background</w:t>
      </w:r>
    </w:p>
    <w:p w:rsidR="00E6104B" w:rsidRPr="00E6104B" w:rsidRDefault="00E6104B" w:rsidP="00E6104B"/>
    <w:p w:rsidR="00E6104B" w:rsidRPr="00D2688F" w:rsidRDefault="00E6104B" w:rsidP="00E6104B">
      <w:pPr>
        <w:pStyle w:val="Default"/>
        <w:spacing w:line="360" w:lineRule="auto"/>
        <w:rPr>
          <w:rFonts w:ascii="Verdana" w:hAnsi="Verdana" w:cstheme="minorBidi"/>
          <w:color w:val="auto"/>
        </w:rPr>
      </w:pPr>
      <w:r w:rsidRPr="00D2688F">
        <w:rPr>
          <w:rFonts w:ascii="Verdana" w:hAnsi="Verdana" w:cstheme="minorBidi"/>
          <w:color w:val="auto"/>
        </w:rPr>
        <w:t>Women of Wandsworth (WOW) started to develop coffee morning sessions is some of the SW11 residential care-homes in in 2010 where it became evident that many older people felt divorced from the local community.</w:t>
      </w:r>
    </w:p>
    <w:p w:rsidR="00E6104B" w:rsidRPr="00D2688F" w:rsidRDefault="00E6104B" w:rsidP="00E6104B">
      <w:pPr>
        <w:pStyle w:val="Default"/>
        <w:spacing w:line="360" w:lineRule="auto"/>
        <w:rPr>
          <w:rFonts w:ascii="Verdana" w:hAnsi="Verdana" w:cstheme="minorBidi"/>
          <w:color w:val="auto"/>
        </w:rPr>
      </w:pPr>
    </w:p>
    <w:p w:rsidR="00E6104B" w:rsidRPr="00D2688F" w:rsidRDefault="00E6104B" w:rsidP="00E6104B">
      <w:pPr>
        <w:pStyle w:val="Default"/>
        <w:spacing w:line="360" w:lineRule="auto"/>
        <w:rPr>
          <w:rFonts w:ascii="Verdana" w:hAnsi="Verdana" w:cstheme="minorBidi"/>
          <w:color w:val="auto"/>
        </w:rPr>
      </w:pPr>
      <w:r w:rsidRPr="00D2688F">
        <w:rPr>
          <w:rFonts w:ascii="Verdana" w:hAnsi="Verdana" w:cstheme="minorBidi"/>
          <w:color w:val="auto"/>
        </w:rPr>
        <w:t>After the Big Local Award was made the SW11 partnership embarked on a series of extensive community consultations which led to the development of the Big Local Plan. The demand for some form of intergenerational work was clearly identified and became a policy objective under the partnerships Community and Belonging objective.</w:t>
      </w:r>
    </w:p>
    <w:p w:rsidR="00E6104B" w:rsidRPr="00D2688F" w:rsidRDefault="00E6104B" w:rsidP="00E6104B">
      <w:pPr>
        <w:pStyle w:val="Default"/>
        <w:spacing w:line="360" w:lineRule="auto"/>
        <w:rPr>
          <w:rFonts w:ascii="Verdana" w:hAnsi="Verdana" w:cstheme="minorBidi"/>
          <w:color w:val="auto"/>
        </w:rPr>
      </w:pPr>
    </w:p>
    <w:p w:rsidR="00E6104B" w:rsidRPr="00D2688F" w:rsidRDefault="00E6104B" w:rsidP="00E6104B">
      <w:pPr>
        <w:pStyle w:val="Default"/>
        <w:spacing w:line="360" w:lineRule="auto"/>
        <w:rPr>
          <w:rFonts w:ascii="Verdana" w:hAnsi="Verdana" w:cstheme="minorBidi"/>
          <w:color w:val="auto"/>
        </w:rPr>
      </w:pPr>
      <w:r w:rsidRPr="00D2688F">
        <w:rPr>
          <w:rFonts w:ascii="Verdana" w:hAnsi="Verdana" w:cstheme="minorBidi"/>
          <w:color w:val="auto"/>
        </w:rPr>
        <w:t>WOW submitted a proposal to deliver a series of intergenerational activities centred on the residential homes, with the aim of building a sustainable engagement process between younger and older people in SW11. In May 2015 the PEC undertook a due diligence review of the application and made an award of £2,500 conditional on agreed outputs and outcomes (Appendix 1).</w:t>
      </w:r>
    </w:p>
    <w:p w:rsidR="00E6104B" w:rsidRPr="00D2688F" w:rsidRDefault="00E6104B" w:rsidP="00E6104B">
      <w:pPr>
        <w:pStyle w:val="Default"/>
        <w:spacing w:line="360" w:lineRule="auto"/>
        <w:rPr>
          <w:rFonts w:ascii="Verdana" w:hAnsi="Verdana" w:cstheme="minorBidi"/>
          <w:color w:val="auto"/>
        </w:rPr>
      </w:pPr>
    </w:p>
    <w:p w:rsidR="00E6104B" w:rsidRPr="00E6104B" w:rsidRDefault="00E6104B" w:rsidP="00E6104B">
      <w:pPr>
        <w:pStyle w:val="Heading2"/>
        <w:spacing w:line="360" w:lineRule="auto"/>
        <w:rPr>
          <w:rFonts w:ascii="Verdana" w:hAnsi="Verdana"/>
          <w:b/>
          <w:sz w:val="28"/>
          <w:szCs w:val="28"/>
        </w:rPr>
      </w:pPr>
      <w:r w:rsidRPr="00E6104B">
        <w:rPr>
          <w:rFonts w:ascii="Verdana" w:hAnsi="Verdana"/>
          <w:b/>
          <w:sz w:val="28"/>
          <w:szCs w:val="28"/>
        </w:rPr>
        <w:t>Evaluation</w:t>
      </w:r>
    </w:p>
    <w:p w:rsidR="00D4130E" w:rsidRDefault="00E6104B" w:rsidP="00E6104B">
      <w:pPr>
        <w:spacing w:line="360" w:lineRule="auto"/>
        <w:rPr>
          <w:rFonts w:ascii="Verdana" w:hAnsi="Verdana"/>
          <w:sz w:val="24"/>
          <w:szCs w:val="24"/>
        </w:rPr>
      </w:pPr>
      <w:r w:rsidRPr="00D2688F">
        <w:rPr>
          <w:rFonts w:ascii="Verdana" w:hAnsi="Verdana"/>
          <w:sz w:val="24"/>
          <w:szCs w:val="24"/>
        </w:rPr>
        <w:t xml:space="preserve">This evaluation is a retrospective assessment of how the WOW project has performed against its </w:t>
      </w:r>
      <w:r>
        <w:rPr>
          <w:rFonts w:ascii="Verdana" w:hAnsi="Verdana"/>
          <w:sz w:val="24"/>
          <w:szCs w:val="24"/>
        </w:rPr>
        <w:t>PEC approved targets. Ideally an independent member or associate of the PEC would have attended some of the WOW events to provide a firsthand account.</w:t>
      </w:r>
    </w:p>
    <w:p w:rsidR="00E6104B" w:rsidRDefault="000C5CFA" w:rsidP="00E6104B">
      <w:pPr>
        <w:spacing w:line="360" w:lineRule="auto"/>
        <w:rPr>
          <w:rFonts w:ascii="Verdana" w:hAnsi="Verdana"/>
          <w:sz w:val="24"/>
          <w:szCs w:val="24"/>
        </w:rPr>
      </w:pPr>
      <w:r>
        <w:rPr>
          <w:rFonts w:ascii="Verdana" w:hAnsi="Verdana"/>
          <w:sz w:val="24"/>
          <w:szCs w:val="24"/>
        </w:rPr>
        <w:t xml:space="preserve">The current WOW contract runs until March 2016 so this review is </w:t>
      </w:r>
      <w:r w:rsidR="00D4130E">
        <w:rPr>
          <w:rFonts w:ascii="Verdana" w:hAnsi="Verdana"/>
          <w:sz w:val="24"/>
          <w:szCs w:val="24"/>
        </w:rPr>
        <w:t xml:space="preserve">effectively a mid-term evaluation which seeks to see how far the project is ‘on track’, what if anything has been learnt, and are there </w:t>
      </w:r>
      <w:r w:rsidR="00D4130E">
        <w:rPr>
          <w:rFonts w:ascii="Verdana" w:hAnsi="Verdana"/>
          <w:sz w:val="24"/>
          <w:szCs w:val="24"/>
        </w:rPr>
        <w:lastRenderedPageBreak/>
        <w:t>actions that the PEC should take to support, improve or modify the project.</w:t>
      </w:r>
    </w:p>
    <w:p w:rsidR="006B42F5" w:rsidRPr="006B42F5" w:rsidRDefault="006B42F5" w:rsidP="00E6104B">
      <w:pPr>
        <w:spacing w:line="360" w:lineRule="auto"/>
        <w:rPr>
          <w:rFonts w:ascii="Verdana" w:hAnsi="Verdana"/>
          <w:b/>
          <w:sz w:val="24"/>
          <w:szCs w:val="24"/>
        </w:rPr>
      </w:pPr>
      <w:r>
        <w:rPr>
          <w:rFonts w:ascii="Verdana" w:hAnsi="Verdana"/>
          <w:b/>
          <w:sz w:val="24"/>
          <w:szCs w:val="24"/>
        </w:rPr>
        <w:t>Ac</w:t>
      </w:r>
      <w:r w:rsidR="008941DF">
        <w:rPr>
          <w:rFonts w:ascii="Verdana" w:hAnsi="Verdana"/>
          <w:b/>
          <w:sz w:val="24"/>
          <w:szCs w:val="24"/>
        </w:rPr>
        <w:t>countability</w:t>
      </w:r>
    </w:p>
    <w:p w:rsidR="006B42F5" w:rsidRDefault="006B42F5" w:rsidP="00E6104B">
      <w:pPr>
        <w:spacing w:line="360" w:lineRule="auto"/>
        <w:rPr>
          <w:rFonts w:ascii="Verdana" w:hAnsi="Verdana"/>
          <w:sz w:val="24"/>
          <w:szCs w:val="24"/>
        </w:rPr>
      </w:pPr>
      <w:r>
        <w:rPr>
          <w:rFonts w:ascii="Verdana" w:hAnsi="Verdana"/>
          <w:sz w:val="24"/>
          <w:szCs w:val="24"/>
        </w:rPr>
        <w:t>Although this project is relatively small the PEC undertook a rigorous process of d</w:t>
      </w:r>
      <w:r w:rsidR="008941DF">
        <w:rPr>
          <w:rFonts w:ascii="Verdana" w:hAnsi="Verdana"/>
          <w:sz w:val="24"/>
          <w:szCs w:val="24"/>
        </w:rPr>
        <w:t xml:space="preserve">ue diligence involving a </w:t>
      </w:r>
      <w:r>
        <w:rPr>
          <w:rFonts w:ascii="Verdana" w:hAnsi="Verdana"/>
          <w:sz w:val="24"/>
          <w:szCs w:val="24"/>
        </w:rPr>
        <w:t>prescriptive process of assessing the WOW proposal against SW11 Big Local’s strategic aims and operational objectives.</w:t>
      </w:r>
    </w:p>
    <w:p w:rsidR="006B42F5" w:rsidRPr="00D2688F" w:rsidRDefault="007F25A1" w:rsidP="00E6104B">
      <w:pPr>
        <w:spacing w:line="360" w:lineRule="auto"/>
        <w:rPr>
          <w:rFonts w:ascii="Verdana" w:hAnsi="Verdana"/>
          <w:sz w:val="24"/>
          <w:szCs w:val="24"/>
        </w:rPr>
      </w:pPr>
      <w:r>
        <w:rPr>
          <w:rFonts w:ascii="Verdana" w:hAnsi="Verdana"/>
          <w:sz w:val="24"/>
          <w:szCs w:val="24"/>
        </w:rPr>
        <w:t>The ‘Commissioning’ process included asking for evidence of WOW’s competency and experience in intergenerational work, a review of other service providers, a statement of outputs, outcomes, monitoring and evaluation and sustainability.</w:t>
      </w:r>
    </w:p>
    <w:p w:rsidR="00E6104B" w:rsidRPr="00D2688F" w:rsidRDefault="00E6104B" w:rsidP="00E6104B">
      <w:pPr>
        <w:pStyle w:val="Default"/>
        <w:spacing w:line="360" w:lineRule="auto"/>
        <w:rPr>
          <w:rFonts w:ascii="Verdana" w:hAnsi="Verdana" w:cstheme="minorBidi"/>
          <w:b/>
          <w:color w:val="auto"/>
        </w:rPr>
      </w:pPr>
      <w:r w:rsidRPr="00D2688F">
        <w:rPr>
          <w:rFonts w:ascii="Verdana" w:hAnsi="Verdana" w:cstheme="minorBidi"/>
          <w:b/>
          <w:color w:val="auto"/>
        </w:rPr>
        <w:t>Review</w:t>
      </w:r>
    </w:p>
    <w:p w:rsidR="00E6104B" w:rsidRDefault="00E6104B" w:rsidP="00E6104B">
      <w:pPr>
        <w:pStyle w:val="Default"/>
        <w:spacing w:line="360" w:lineRule="auto"/>
        <w:rPr>
          <w:rFonts w:ascii="Verdana" w:hAnsi="Verdana" w:cstheme="minorBidi"/>
          <w:color w:val="auto"/>
        </w:rPr>
      </w:pPr>
      <w:bookmarkStart w:id="0" w:name="_GoBack"/>
      <w:bookmarkEnd w:id="0"/>
      <w:r w:rsidRPr="00D2688F">
        <w:rPr>
          <w:rFonts w:ascii="Verdana" w:hAnsi="Verdana" w:cstheme="minorBidi"/>
          <w:color w:val="auto"/>
        </w:rPr>
        <w:t>To date (August 31</w:t>
      </w:r>
      <w:r w:rsidRPr="00D2688F">
        <w:rPr>
          <w:rFonts w:ascii="Verdana" w:hAnsi="Verdana" w:cstheme="minorBidi"/>
          <w:color w:val="auto"/>
          <w:vertAlign w:val="superscript"/>
        </w:rPr>
        <w:t>st</w:t>
      </w:r>
      <w:r w:rsidRPr="00D2688F">
        <w:rPr>
          <w:rFonts w:ascii="Verdana" w:hAnsi="Verdana" w:cstheme="minorBidi"/>
          <w:color w:val="auto"/>
        </w:rPr>
        <w:t>) the WOW Intergenerat</w:t>
      </w:r>
      <w:r w:rsidR="001A5CC3">
        <w:rPr>
          <w:rFonts w:ascii="Verdana" w:hAnsi="Verdana" w:cstheme="minorBidi"/>
          <w:color w:val="auto"/>
        </w:rPr>
        <w:t>ional project has delivered three</w:t>
      </w:r>
      <w:r w:rsidRPr="00D2688F">
        <w:rPr>
          <w:rFonts w:ascii="Verdana" w:hAnsi="Verdana" w:cstheme="minorBidi"/>
          <w:color w:val="auto"/>
        </w:rPr>
        <w:t xml:space="preserve"> ‘events’ and several coffee mornings.</w:t>
      </w:r>
    </w:p>
    <w:p w:rsidR="00387D66" w:rsidRPr="00D2688F" w:rsidRDefault="00387D66" w:rsidP="00E6104B">
      <w:pPr>
        <w:pStyle w:val="Default"/>
        <w:spacing w:line="360" w:lineRule="auto"/>
        <w:rPr>
          <w:rFonts w:ascii="Verdana" w:hAnsi="Verdana" w:cstheme="minorBidi"/>
          <w:color w:val="auto"/>
        </w:rPr>
      </w:pPr>
    </w:p>
    <w:p w:rsidR="00387D66" w:rsidRPr="003D0979" w:rsidRDefault="00387D66">
      <w:pPr>
        <w:rPr>
          <w:rFonts w:ascii="Verdana" w:hAnsi="Verdana"/>
          <w:b/>
          <w:sz w:val="24"/>
          <w:szCs w:val="24"/>
        </w:rPr>
      </w:pPr>
      <w:r w:rsidRPr="003D0979">
        <w:rPr>
          <w:rFonts w:ascii="Verdana" w:hAnsi="Verdana"/>
          <w:b/>
          <w:sz w:val="24"/>
          <w:szCs w:val="24"/>
        </w:rPr>
        <w:t>WOW Intergenerational Events – Outputs (To end of August 2015)</w:t>
      </w:r>
    </w:p>
    <w:p w:rsidR="00387D66" w:rsidRDefault="00387D66">
      <w:pPr>
        <w:rPr>
          <w:rFonts w:ascii="Verdana" w:hAnsi="Verdana"/>
          <w:sz w:val="24"/>
          <w:szCs w:val="24"/>
        </w:rPr>
      </w:pPr>
    </w:p>
    <w:tbl>
      <w:tblPr>
        <w:tblStyle w:val="TableGrid"/>
        <w:tblW w:w="10490" w:type="dxa"/>
        <w:tblInd w:w="-743" w:type="dxa"/>
        <w:tblLayout w:type="fixed"/>
        <w:tblLook w:val="04A0"/>
      </w:tblPr>
      <w:tblGrid>
        <w:gridCol w:w="3119"/>
        <w:gridCol w:w="1560"/>
        <w:gridCol w:w="1134"/>
        <w:gridCol w:w="1417"/>
        <w:gridCol w:w="1418"/>
        <w:gridCol w:w="1842"/>
      </w:tblGrid>
      <w:tr w:rsidR="00996C7D" w:rsidTr="00996C7D">
        <w:tc>
          <w:tcPr>
            <w:tcW w:w="3119" w:type="dxa"/>
          </w:tcPr>
          <w:p w:rsidR="00996C7D" w:rsidRDefault="00996C7D">
            <w:pPr>
              <w:rPr>
                <w:rFonts w:ascii="Verdana" w:hAnsi="Verdana"/>
                <w:sz w:val="24"/>
                <w:szCs w:val="24"/>
              </w:rPr>
            </w:pPr>
            <w:r>
              <w:rPr>
                <w:rFonts w:ascii="Verdana" w:hAnsi="Verdana"/>
                <w:sz w:val="24"/>
                <w:szCs w:val="24"/>
              </w:rPr>
              <w:t>Activity</w:t>
            </w:r>
          </w:p>
        </w:tc>
        <w:tc>
          <w:tcPr>
            <w:tcW w:w="1560" w:type="dxa"/>
          </w:tcPr>
          <w:p w:rsidR="00996C7D" w:rsidRDefault="00996C7D">
            <w:pPr>
              <w:rPr>
                <w:rFonts w:ascii="Verdana" w:hAnsi="Verdana"/>
                <w:sz w:val="24"/>
                <w:szCs w:val="24"/>
              </w:rPr>
            </w:pPr>
            <w:r>
              <w:rPr>
                <w:rFonts w:ascii="Verdana" w:hAnsi="Verdana"/>
                <w:sz w:val="24"/>
                <w:szCs w:val="24"/>
              </w:rPr>
              <w:t>WOW volunteers</w:t>
            </w:r>
          </w:p>
        </w:tc>
        <w:tc>
          <w:tcPr>
            <w:tcW w:w="1134" w:type="dxa"/>
          </w:tcPr>
          <w:p w:rsidR="00996C7D" w:rsidRDefault="00996C7D">
            <w:pPr>
              <w:rPr>
                <w:rFonts w:ascii="Verdana" w:hAnsi="Verdana"/>
                <w:sz w:val="24"/>
                <w:szCs w:val="24"/>
              </w:rPr>
            </w:pPr>
            <w:r>
              <w:rPr>
                <w:rFonts w:ascii="Verdana" w:hAnsi="Verdana"/>
                <w:sz w:val="24"/>
                <w:szCs w:val="24"/>
              </w:rPr>
              <w:t>Elderly People</w:t>
            </w:r>
          </w:p>
        </w:tc>
        <w:tc>
          <w:tcPr>
            <w:tcW w:w="1417" w:type="dxa"/>
          </w:tcPr>
          <w:p w:rsidR="00996C7D" w:rsidRDefault="00996C7D">
            <w:pPr>
              <w:rPr>
                <w:rFonts w:ascii="Verdana" w:hAnsi="Verdana"/>
                <w:sz w:val="24"/>
                <w:szCs w:val="24"/>
              </w:rPr>
            </w:pPr>
            <w:r>
              <w:rPr>
                <w:rFonts w:ascii="Verdana" w:hAnsi="Verdana"/>
                <w:sz w:val="24"/>
                <w:szCs w:val="24"/>
              </w:rPr>
              <w:t>Children*</w:t>
            </w:r>
          </w:p>
        </w:tc>
        <w:tc>
          <w:tcPr>
            <w:tcW w:w="1418" w:type="dxa"/>
          </w:tcPr>
          <w:p w:rsidR="00996C7D" w:rsidRDefault="00996C7D">
            <w:pPr>
              <w:rPr>
                <w:rFonts w:ascii="Verdana" w:hAnsi="Verdana"/>
                <w:sz w:val="24"/>
                <w:szCs w:val="24"/>
              </w:rPr>
            </w:pPr>
            <w:r>
              <w:rPr>
                <w:rFonts w:ascii="Verdana" w:hAnsi="Verdana"/>
                <w:sz w:val="24"/>
                <w:szCs w:val="24"/>
              </w:rPr>
              <w:t>Actual Cost**</w:t>
            </w:r>
          </w:p>
        </w:tc>
        <w:tc>
          <w:tcPr>
            <w:tcW w:w="1842" w:type="dxa"/>
          </w:tcPr>
          <w:p w:rsidR="00996C7D" w:rsidRDefault="00996C7D">
            <w:pPr>
              <w:rPr>
                <w:rFonts w:ascii="Verdana" w:hAnsi="Verdana"/>
                <w:sz w:val="24"/>
                <w:szCs w:val="24"/>
              </w:rPr>
            </w:pPr>
            <w:r>
              <w:rPr>
                <w:rFonts w:ascii="Verdana" w:hAnsi="Verdana"/>
                <w:sz w:val="24"/>
                <w:szCs w:val="24"/>
              </w:rPr>
              <w:t>SW 11 Contribution</w:t>
            </w:r>
          </w:p>
        </w:tc>
      </w:tr>
      <w:tr w:rsidR="00996C7D" w:rsidTr="00996C7D">
        <w:tc>
          <w:tcPr>
            <w:tcW w:w="3119" w:type="dxa"/>
          </w:tcPr>
          <w:p w:rsidR="00996C7D" w:rsidRDefault="00996C7D">
            <w:pPr>
              <w:rPr>
                <w:rFonts w:ascii="Verdana" w:hAnsi="Verdana"/>
                <w:sz w:val="24"/>
                <w:szCs w:val="24"/>
              </w:rPr>
            </w:pPr>
            <w:r>
              <w:rPr>
                <w:rFonts w:ascii="Verdana" w:hAnsi="Verdana"/>
                <w:sz w:val="24"/>
                <w:szCs w:val="24"/>
              </w:rPr>
              <w:t>BBQ</w:t>
            </w:r>
          </w:p>
        </w:tc>
        <w:tc>
          <w:tcPr>
            <w:tcW w:w="1560" w:type="dxa"/>
          </w:tcPr>
          <w:p w:rsidR="00996C7D" w:rsidRDefault="00996C7D" w:rsidP="003F2F19">
            <w:pPr>
              <w:jc w:val="right"/>
              <w:rPr>
                <w:rFonts w:ascii="Verdana" w:hAnsi="Verdana"/>
                <w:sz w:val="24"/>
                <w:szCs w:val="24"/>
              </w:rPr>
            </w:pPr>
            <w:r>
              <w:rPr>
                <w:rFonts w:ascii="Verdana" w:hAnsi="Verdana"/>
                <w:sz w:val="24"/>
                <w:szCs w:val="24"/>
              </w:rPr>
              <w:t>9</w:t>
            </w:r>
          </w:p>
        </w:tc>
        <w:tc>
          <w:tcPr>
            <w:tcW w:w="1134" w:type="dxa"/>
          </w:tcPr>
          <w:p w:rsidR="00996C7D" w:rsidRDefault="00996C7D" w:rsidP="003F2F19">
            <w:pPr>
              <w:jc w:val="right"/>
              <w:rPr>
                <w:rFonts w:ascii="Verdana" w:hAnsi="Verdana"/>
                <w:sz w:val="24"/>
                <w:szCs w:val="24"/>
              </w:rPr>
            </w:pPr>
            <w:r>
              <w:rPr>
                <w:rFonts w:ascii="Verdana" w:hAnsi="Verdana"/>
                <w:sz w:val="24"/>
                <w:szCs w:val="24"/>
              </w:rPr>
              <w:t>30</w:t>
            </w:r>
          </w:p>
        </w:tc>
        <w:tc>
          <w:tcPr>
            <w:tcW w:w="1417" w:type="dxa"/>
          </w:tcPr>
          <w:p w:rsidR="00996C7D" w:rsidRDefault="00996C7D" w:rsidP="003F2F19">
            <w:pPr>
              <w:jc w:val="right"/>
              <w:rPr>
                <w:rFonts w:ascii="Verdana" w:hAnsi="Verdana"/>
                <w:sz w:val="24"/>
                <w:szCs w:val="24"/>
              </w:rPr>
            </w:pPr>
            <w:r>
              <w:rPr>
                <w:rFonts w:ascii="Verdana" w:hAnsi="Verdana"/>
                <w:sz w:val="24"/>
                <w:szCs w:val="24"/>
              </w:rPr>
              <w:t>11</w:t>
            </w:r>
          </w:p>
        </w:tc>
        <w:tc>
          <w:tcPr>
            <w:tcW w:w="1418" w:type="dxa"/>
          </w:tcPr>
          <w:p w:rsidR="00996C7D" w:rsidRDefault="00996C7D" w:rsidP="003F2F19">
            <w:pPr>
              <w:jc w:val="right"/>
              <w:rPr>
                <w:rFonts w:ascii="Verdana" w:hAnsi="Verdana"/>
                <w:sz w:val="24"/>
                <w:szCs w:val="24"/>
              </w:rPr>
            </w:pPr>
            <w:r>
              <w:rPr>
                <w:rFonts w:ascii="Verdana" w:hAnsi="Verdana"/>
                <w:sz w:val="24"/>
                <w:szCs w:val="24"/>
              </w:rPr>
              <w:t>£300</w:t>
            </w:r>
          </w:p>
        </w:tc>
        <w:tc>
          <w:tcPr>
            <w:tcW w:w="1842" w:type="dxa"/>
          </w:tcPr>
          <w:p w:rsidR="00996C7D" w:rsidRDefault="00996C7D" w:rsidP="003F2F19">
            <w:pPr>
              <w:jc w:val="right"/>
              <w:rPr>
                <w:rFonts w:ascii="Verdana" w:hAnsi="Verdana"/>
                <w:sz w:val="24"/>
                <w:szCs w:val="24"/>
              </w:rPr>
            </w:pPr>
            <w:r>
              <w:rPr>
                <w:rFonts w:ascii="Verdana" w:hAnsi="Verdana"/>
                <w:sz w:val="24"/>
                <w:szCs w:val="24"/>
              </w:rPr>
              <w:t>£150</w:t>
            </w:r>
          </w:p>
        </w:tc>
      </w:tr>
      <w:tr w:rsidR="00996C7D" w:rsidTr="00996C7D">
        <w:tc>
          <w:tcPr>
            <w:tcW w:w="3119" w:type="dxa"/>
          </w:tcPr>
          <w:p w:rsidR="00996C7D" w:rsidRDefault="00996C7D">
            <w:pPr>
              <w:rPr>
                <w:rFonts w:ascii="Verdana" w:hAnsi="Verdana"/>
                <w:sz w:val="24"/>
                <w:szCs w:val="24"/>
              </w:rPr>
            </w:pPr>
            <w:r>
              <w:rPr>
                <w:rFonts w:ascii="Verdana" w:hAnsi="Verdana"/>
                <w:sz w:val="24"/>
                <w:szCs w:val="24"/>
              </w:rPr>
              <w:t>Theatre Visit</w:t>
            </w:r>
          </w:p>
        </w:tc>
        <w:tc>
          <w:tcPr>
            <w:tcW w:w="1560" w:type="dxa"/>
          </w:tcPr>
          <w:p w:rsidR="00996C7D" w:rsidRDefault="00996C7D" w:rsidP="003F2F19">
            <w:pPr>
              <w:jc w:val="right"/>
              <w:rPr>
                <w:rFonts w:ascii="Verdana" w:hAnsi="Verdana"/>
                <w:sz w:val="24"/>
                <w:szCs w:val="24"/>
              </w:rPr>
            </w:pPr>
            <w:r>
              <w:rPr>
                <w:rFonts w:ascii="Verdana" w:hAnsi="Verdana"/>
                <w:sz w:val="24"/>
                <w:szCs w:val="24"/>
              </w:rPr>
              <w:t>3</w:t>
            </w:r>
          </w:p>
        </w:tc>
        <w:tc>
          <w:tcPr>
            <w:tcW w:w="1134" w:type="dxa"/>
          </w:tcPr>
          <w:p w:rsidR="00996C7D" w:rsidRDefault="00996C7D" w:rsidP="003F2F19">
            <w:pPr>
              <w:jc w:val="right"/>
              <w:rPr>
                <w:rFonts w:ascii="Verdana" w:hAnsi="Verdana"/>
                <w:sz w:val="24"/>
                <w:szCs w:val="24"/>
              </w:rPr>
            </w:pPr>
            <w:r>
              <w:rPr>
                <w:rFonts w:ascii="Verdana" w:hAnsi="Verdana"/>
                <w:sz w:val="24"/>
                <w:szCs w:val="24"/>
              </w:rPr>
              <w:t>40</w:t>
            </w:r>
          </w:p>
        </w:tc>
        <w:tc>
          <w:tcPr>
            <w:tcW w:w="1417" w:type="dxa"/>
          </w:tcPr>
          <w:p w:rsidR="00996C7D" w:rsidRDefault="00996C7D" w:rsidP="003F2F19">
            <w:pPr>
              <w:jc w:val="right"/>
              <w:rPr>
                <w:rFonts w:ascii="Verdana" w:hAnsi="Verdana"/>
                <w:sz w:val="24"/>
                <w:szCs w:val="24"/>
              </w:rPr>
            </w:pPr>
            <w:r>
              <w:rPr>
                <w:rFonts w:ascii="Verdana" w:hAnsi="Verdana"/>
                <w:sz w:val="24"/>
                <w:szCs w:val="24"/>
              </w:rPr>
              <w:t>10</w:t>
            </w:r>
          </w:p>
        </w:tc>
        <w:tc>
          <w:tcPr>
            <w:tcW w:w="1418" w:type="dxa"/>
          </w:tcPr>
          <w:p w:rsidR="00996C7D" w:rsidRDefault="00996C7D" w:rsidP="003F2F19">
            <w:pPr>
              <w:jc w:val="right"/>
              <w:rPr>
                <w:rFonts w:ascii="Verdana" w:hAnsi="Verdana"/>
                <w:sz w:val="24"/>
                <w:szCs w:val="24"/>
              </w:rPr>
            </w:pPr>
            <w:r>
              <w:rPr>
                <w:rFonts w:ascii="Verdana" w:hAnsi="Verdana"/>
                <w:sz w:val="24"/>
                <w:szCs w:val="24"/>
              </w:rPr>
              <w:t>£150</w:t>
            </w:r>
          </w:p>
        </w:tc>
        <w:tc>
          <w:tcPr>
            <w:tcW w:w="1842" w:type="dxa"/>
          </w:tcPr>
          <w:p w:rsidR="00996C7D" w:rsidRDefault="00996C7D" w:rsidP="003F2F19">
            <w:pPr>
              <w:jc w:val="right"/>
              <w:rPr>
                <w:rFonts w:ascii="Verdana" w:hAnsi="Verdana"/>
                <w:sz w:val="24"/>
                <w:szCs w:val="24"/>
              </w:rPr>
            </w:pPr>
            <w:r>
              <w:rPr>
                <w:rFonts w:ascii="Verdana" w:hAnsi="Verdana"/>
                <w:sz w:val="24"/>
                <w:szCs w:val="24"/>
              </w:rPr>
              <w:t>£110</w:t>
            </w:r>
          </w:p>
        </w:tc>
      </w:tr>
      <w:tr w:rsidR="00996C7D" w:rsidTr="00996C7D">
        <w:tc>
          <w:tcPr>
            <w:tcW w:w="3119" w:type="dxa"/>
          </w:tcPr>
          <w:p w:rsidR="00996C7D" w:rsidRDefault="00996C7D">
            <w:pPr>
              <w:rPr>
                <w:rFonts w:ascii="Verdana" w:hAnsi="Verdana"/>
                <w:sz w:val="24"/>
                <w:szCs w:val="24"/>
              </w:rPr>
            </w:pPr>
            <w:r>
              <w:rPr>
                <w:rFonts w:ascii="Verdana" w:hAnsi="Verdana"/>
                <w:sz w:val="24"/>
                <w:szCs w:val="24"/>
              </w:rPr>
              <w:t>Margate Trip</w:t>
            </w:r>
          </w:p>
        </w:tc>
        <w:tc>
          <w:tcPr>
            <w:tcW w:w="1560" w:type="dxa"/>
          </w:tcPr>
          <w:p w:rsidR="00996C7D" w:rsidRDefault="00996C7D" w:rsidP="003F2F19">
            <w:pPr>
              <w:jc w:val="right"/>
              <w:rPr>
                <w:rFonts w:ascii="Verdana" w:hAnsi="Verdana"/>
                <w:sz w:val="24"/>
                <w:szCs w:val="24"/>
              </w:rPr>
            </w:pPr>
            <w:r>
              <w:rPr>
                <w:rFonts w:ascii="Verdana" w:hAnsi="Verdana"/>
                <w:sz w:val="24"/>
                <w:szCs w:val="24"/>
              </w:rPr>
              <w:t>3</w:t>
            </w:r>
          </w:p>
        </w:tc>
        <w:tc>
          <w:tcPr>
            <w:tcW w:w="1134" w:type="dxa"/>
          </w:tcPr>
          <w:p w:rsidR="00996C7D" w:rsidRDefault="00996C7D" w:rsidP="003F2F19">
            <w:pPr>
              <w:jc w:val="right"/>
              <w:rPr>
                <w:rFonts w:ascii="Verdana" w:hAnsi="Verdana"/>
                <w:sz w:val="24"/>
                <w:szCs w:val="24"/>
              </w:rPr>
            </w:pPr>
            <w:r>
              <w:rPr>
                <w:rFonts w:ascii="Verdana" w:hAnsi="Verdana"/>
                <w:sz w:val="24"/>
                <w:szCs w:val="24"/>
              </w:rPr>
              <w:t xml:space="preserve">35 </w:t>
            </w:r>
          </w:p>
        </w:tc>
        <w:tc>
          <w:tcPr>
            <w:tcW w:w="1417" w:type="dxa"/>
          </w:tcPr>
          <w:p w:rsidR="00996C7D" w:rsidRDefault="00996C7D" w:rsidP="003F2F19">
            <w:pPr>
              <w:jc w:val="right"/>
              <w:rPr>
                <w:rFonts w:ascii="Verdana" w:hAnsi="Verdana"/>
                <w:sz w:val="24"/>
                <w:szCs w:val="24"/>
              </w:rPr>
            </w:pPr>
            <w:r>
              <w:rPr>
                <w:rFonts w:ascii="Verdana" w:hAnsi="Verdana"/>
                <w:sz w:val="24"/>
                <w:szCs w:val="24"/>
              </w:rPr>
              <w:t>20</w:t>
            </w:r>
          </w:p>
        </w:tc>
        <w:tc>
          <w:tcPr>
            <w:tcW w:w="1418" w:type="dxa"/>
          </w:tcPr>
          <w:p w:rsidR="00996C7D" w:rsidRDefault="00996C7D" w:rsidP="003F2F19">
            <w:pPr>
              <w:jc w:val="right"/>
              <w:rPr>
                <w:rFonts w:ascii="Verdana" w:hAnsi="Verdana"/>
                <w:sz w:val="24"/>
                <w:szCs w:val="24"/>
              </w:rPr>
            </w:pPr>
            <w:r>
              <w:rPr>
                <w:rFonts w:ascii="Verdana" w:hAnsi="Verdana"/>
                <w:sz w:val="24"/>
                <w:szCs w:val="24"/>
              </w:rPr>
              <w:t>£700</w:t>
            </w:r>
          </w:p>
        </w:tc>
        <w:tc>
          <w:tcPr>
            <w:tcW w:w="1842" w:type="dxa"/>
          </w:tcPr>
          <w:p w:rsidR="00996C7D" w:rsidRDefault="00996C7D" w:rsidP="003F2F19">
            <w:pPr>
              <w:jc w:val="right"/>
              <w:rPr>
                <w:rFonts w:ascii="Verdana" w:hAnsi="Verdana"/>
                <w:sz w:val="24"/>
                <w:szCs w:val="24"/>
              </w:rPr>
            </w:pPr>
            <w:r>
              <w:rPr>
                <w:rFonts w:ascii="Verdana" w:hAnsi="Verdana"/>
                <w:sz w:val="24"/>
                <w:szCs w:val="24"/>
              </w:rPr>
              <w:t xml:space="preserve">£145 </w:t>
            </w:r>
          </w:p>
        </w:tc>
      </w:tr>
      <w:tr w:rsidR="00996C7D" w:rsidTr="00996C7D">
        <w:tc>
          <w:tcPr>
            <w:tcW w:w="3119" w:type="dxa"/>
          </w:tcPr>
          <w:p w:rsidR="00996C7D" w:rsidRDefault="00996C7D">
            <w:pPr>
              <w:rPr>
                <w:rFonts w:ascii="Verdana" w:hAnsi="Verdana"/>
                <w:sz w:val="24"/>
                <w:szCs w:val="24"/>
              </w:rPr>
            </w:pPr>
            <w:r>
              <w:rPr>
                <w:rFonts w:ascii="Verdana" w:hAnsi="Verdana"/>
                <w:sz w:val="24"/>
                <w:szCs w:val="24"/>
              </w:rPr>
              <w:t>Haven Lunch</w:t>
            </w:r>
          </w:p>
        </w:tc>
        <w:tc>
          <w:tcPr>
            <w:tcW w:w="1560" w:type="dxa"/>
          </w:tcPr>
          <w:p w:rsidR="00996C7D" w:rsidRDefault="00996C7D" w:rsidP="003F2F19">
            <w:pPr>
              <w:jc w:val="right"/>
              <w:rPr>
                <w:rFonts w:ascii="Verdana" w:hAnsi="Verdana"/>
                <w:sz w:val="24"/>
                <w:szCs w:val="24"/>
              </w:rPr>
            </w:pPr>
            <w:r>
              <w:rPr>
                <w:rFonts w:ascii="Verdana" w:hAnsi="Verdana"/>
                <w:sz w:val="24"/>
                <w:szCs w:val="24"/>
              </w:rPr>
              <w:t>3</w:t>
            </w:r>
          </w:p>
        </w:tc>
        <w:tc>
          <w:tcPr>
            <w:tcW w:w="1134" w:type="dxa"/>
          </w:tcPr>
          <w:p w:rsidR="00996C7D" w:rsidRDefault="00996C7D" w:rsidP="003F2F19">
            <w:pPr>
              <w:jc w:val="right"/>
              <w:rPr>
                <w:rFonts w:ascii="Verdana" w:hAnsi="Verdana"/>
                <w:sz w:val="24"/>
                <w:szCs w:val="24"/>
              </w:rPr>
            </w:pPr>
            <w:r>
              <w:rPr>
                <w:rFonts w:ascii="Verdana" w:hAnsi="Verdana"/>
                <w:sz w:val="24"/>
                <w:szCs w:val="24"/>
              </w:rPr>
              <w:t>12</w:t>
            </w:r>
          </w:p>
        </w:tc>
        <w:tc>
          <w:tcPr>
            <w:tcW w:w="1417" w:type="dxa"/>
          </w:tcPr>
          <w:p w:rsidR="00996C7D" w:rsidRDefault="00996C7D" w:rsidP="003F2F19">
            <w:pPr>
              <w:jc w:val="right"/>
              <w:rPr>
                <w:rFonts w:ascii="Verdana" w:hAnsi="Verdana"/>
                <w:sz w:val="24"/>
                <w:szCs w:val="24"/>
              </w:rPr>
            </w:pPr>
            <w:r>
              <w:rPr>
                <w:rFonts w:ascii="Verdana" w:hAnsi="Verdana"/>
                <w:sz w:val="24"/>
                <w:szCs w:val="24"/>
              </w:rPr>
              <w:t>5</w:t>
            </w:r>
          </w:p>
        </w:tc>
        <w:tc>
          <w:tcPr>
            <w:tcW w:w="1418" w:type="dxa"/>
          </w:tcPr>
          <w:p w:rsidR="00996C7D" w:rsidRDefault="00996C7D" w:rsidP="003F2F19">
            <w:pPr>
              <w:jc w:val="right"/>
              <w:rPr>
                <w:rFonts w:ascii="Verdana" w:hAnsi="Verdana"/>
                <w:sz w:val="24"/>
                <w:szCs w:val="24"/>
              </w:rPr>
            </w:pPr>
            <w:r>
              <w:rPr>
                <w:rFonts w:ascii="Verdana" w:hAnsi="Verdana"/>
                <w:sz w:val="24"/>
                <w:szCs w:val="24"/>
              </w:rPr>
              <w:t>£145</w:t>
            </w:r>
          </w:p>
        </w:tc>
        <w:tc>
          <w:tcPr>
            <w:tcW w:w="1842" w:type="dxa"/>
          </w:tcPr>
          <w:p w:rsidR="00996C7D" w:rsidRDefault="00996C7D" w:rsidP="003F2F19">
            <w:pPr>
              <w:jc w:val="right"/>
              <w:rPr>
                <w:rFonts w:ascii="Verdana" w:hAnsi="Verdana"/>
                <w:sz w:val="24"/>
                <w:szCs w:val="24"/>
              </w:rPr>
            </w:pPr>
            <w:r>
              <w:rPr>
                <w:rFonts w:ascii="Verdana" w:hAnsi="Verdana"/>
                <w:sz w:val="24"/>
                <w:szCs w:val="24"/>
              </w:rPr>
              <w:t xml:space="preserve"> £105</w:t>
            </w:r>
          </w:p>
        </w:tc>
      </w:tr>
      <w:tr w:rsidR="00996C7D" w:rsidTr="00996C7D">
        <w:tc>
          <w:tcPr>
            <w:tcW w:w="3119" w:type="dxa"/>
          </w:tcPr>
          <w:p w:rsidR="00996C7D" w:rsidRDefault="00996C7D">
            <w:pPr>
              <w:rPr>
                <w:rFonts w:ascii="Verdana" w:hAnsi="Verdana"/>
                <w:sz w:val="24"/>
                <w:szCs w:val="24"/>
              </w:rPr>
            </w:pPr>
            <w:r>
              <w:rPr>
                <w:rFonts w:ascii="Verdana" w:hAnsi="Verdana"/>
                <w:sz w:val="24"/>
                <w:szCs w:val="24"/>
              </w:rPr>
              <w:t>Holmleigh Lunch</w:t>
            </w:r>
          </w:p>
        </w:tc>
        <w:tc>
          <w:tcPr>
            <w:tcW w:w="1560" w:type="dxa"/>
          </w:tcPr>
          <w:p w:rsidR="00996C7D" w:rsidRDefault="00996C7D" w:rsidP="003F2F19">
            <w:pPr>
              <w:jc w:val="right"/>
              <w:rPr>
                <w:rFonts w:ascii="Verdana" w:hAnsi="Verdana"/>
                <w:sz w:val="24"/>
                <w:szCs w:val="24"/>
              </w:rPr>
            </w:pPr>
            <w:r>
              <w:rPr>
                <w:rFonts w:ascii="Verdana" w:hAnsi="Verdana"/>
                <w:sz w:val="24"/>
                <w:szCs w:val="24"/>
              </w:rPr>
              <w:t>0</w:t>
            </w:r>
          </w:p>
        </w:tc>
        <w:tc>
          <w:tcPr>
            <w:tcW w:w="1134" w:type="dxa"/>
          </w:tcPr>
          <w:p w:rsidR="00996C7D" w:rsidRDefault="00996C7D" w:rsidP="003F2F19">
            <w:pPr>
              <w:jc w:val="right"/>
              <w:rPr>
                <w:rFonts w:ascii="Verdana" w:hAnsi="Verdana"/>
                <w:sz w:val="24"/>
                <w:szCs w:val="24"/>
              </w:rPr>
            </w:pPr>
            <w:r>
              <w:rPr>
                <w:rFonts w:ascii="Verdana" w:hAnsi="Verdana"/>
                <w:sz w:val="24"/>
                <w:szCs w:val="24"/>
              </w:rPr>
              <w:t>0</w:t>
            </w:r>
          </w:p>
        </w:tc>
        <w:tc>
          <w:tcPr>
            <w:tcW w:w="1417" w:type="dxa"/>
          </w:tcPr>
          <w:p w:rsidR="00996C7D" w:rsidRDefault="00996C7D" w:rsidP="003F2F19">
            <w:pPr>
              <w:jc w:val="right"/>
              <w:rPr>
                <w:rFonts w:ascii="Verdana" w:hAnsi="Verdana"/>
                <w:sz w:val="24"/>
                <w:szCs w:val="24"/>
              </w:rPr>
            </w:pPr>
          </w:p>
        </w:tc>
        <w:tc>
          <w:tcPr>
            <w:tcW w:w="1418" w:type="dxa"/>
          </w:tcPr>
          <w:p w:rsidR="00996C7D" w:rsidRDefault="00996C7D" w:rsidP="003F2F19">
            <w:pPr>
              <w:jc w:val="right"/>
              <w:rPr>
                <w:rFonts w:ascii="Verdana" w:hAnsi="Verdana"/>
                <w:sz w:val="24"/>
                <w:szCs w:val="24"/>
              </w:rPr>
            </w:pPr>
            <w:r>
              <w:rPr>
                <w:rFonts w:ascii="Verdana" w:hAnsi="Verdana"/>
                <w:sz w:val="24"/>
                <w:szCs w:val="24"/>
              </w:rPr>
              <w:t>0</w:t>
            </w:r>
          </w:p>
        </w:tc>
        <w:tc>
          <w:tcPr>
            <w:tcW w:w="1842" w:type="dxa"/>
          </w:tcPr>
          <w:p w:rsidR="00996C7D" w:rsidRDefault="00996C7D" w:rsidP="003F2F19">
            <w:pPr>
              <w:jc w:val="right"/>
              <w:rPr>
                <w:rFonts w:ascii="Verdana" w:hAnsi="Verdana"/>
                <w:sz w:val="24"/>
                <w:szCs w:val="24"/>
              </w:rPr>
            </w:pPr>
            <w:r>
              <w:rPr>
                <w:rFonts w:ascii="Verdana" w:hAnsi="Verdana"/>
                <w:sz w:val="24"/>
                <w:szCs w:val="24"/>
              </w:rPr>
              <w:t>0</w:t>
            </w:r>
          </w:p>
        </w:tc>
      </w:tr>
      <w:tr w:rsidR="00996C7D" w:rsidTr="00996C7D">
        <w:tc>
          <w:tcPr>
            <w:tcW w:w="3119" w:type="dxa"/>
          </w:tcPr>
          <w:p w:rsidR="00996C7D" w:rsidRDefault="00996C7D">
            <w:pPr>
              <w:rPr>
                <w:rFonts w:ascii="Verdana" w:hAnsi="Verdana"/>
                <w:sz w:val="24"/>
                <w:szCs w:val="24"/>
              </w:rPr>
            </w:pPr>
            <w:r>
              <w:rPr>
                <w:rFonts w:ascii="Verdana" w:hAnsi="Verdana"/>
                <w:sz w:val="24"/>
                <w:szCs w:val="24"/>
              </w:rPr>
              <w:t>Doris Emmerton Lunch</w:t>
            </w:r>
          </w:p>
        </w:tc>
        <w:tc>
          <w:tcPr>
            <w:tcW w:w="1560" w:type="dxa"/>
          </w:tcPr>
          <w:p w:rsidR="00996C7D" w:rsidRDefault="00996C7D" w:rsidP="003F2F19">
            <w:pPr>
              <w:jc w:val="right"/>
              <w:rPr>
                <w:rFonts w:ascii="Verdana" w:hAnsi="Verdana"/>
                <w:sz w:val="24"/>
                <w:szCs w:val="24"/>
              </w:rPr>
            </w:pPr>
            <w:r>
              <w:rPr>
                <w:rFonts w:ascii="Verdana" w:hAnsi="Verdana"/>
                <w:sz w:val="24"/>
                <w:szCs w:val="24"/>
              </w:rPr>
              <w:t>0</w:t>
            </w:r>
          </w:p>
        </w:tc>
        <w:tc>
          <w:tcPr>
            <w:tcW w:w="1134" w:type="dxa"/>
          </w:tcPr>
          <w:p w:rsidR="00996C7D" w:rsidRDefault="00996C7D" w:rsidP="003F2F19">
            <w:pPr>
              <w:jc w:val="right"/>
              <w:rPr>
                <w:rFonts w:ascii="Verdana" w:hAnsi="Verdana"/>
                <w:sz w:val="24"/>
                <w:szCs w:val="24"/>
              </w:rPr>
            </w:pPr>
            <w:r>
              <w:rPr>
                <w:rFonts w:ascii="Verdana" w:hAnsi="Verdana"/>
                <w:sz w:val="24"/>
                <w:szCs w:val="24"/>
              </w:rPr>
              <w:t>0</w:t>
            </w:r>
          </w:p>
        </w:tc>
        <w:tc>
          <w:tcPr>
            <w:tcW w:w="1417" w:type="dxa"/>
          </w:tcPr>
          <w:p w:rsidR="00996C7D" w:rsidRDefault="00996C7D" w:rsidP="003F2F19">
            <w:pPr>
              <w:jc w:val="right"/>
              <w:rPr>
                <w:rFonts w:ascii="Verdana" w:hAnsi="Verdana"/>
                <w:sz w:val="24"/>
                <w:szCs w:val="24"/>
              </w:rPr>
            </w:pPr>
          </w:p>
        </w:tc>
        <w:tc>
          <w:tcPr>
            <w:tcW w:w="1418" w:type="dxa"/>
          </w:tcPr>
          <w:p w:rsidR="00996C7D" w:rsidRDefault="00996C7D" w:rsidP="003F2F19">
            <w:pPr>
              <w:jc w:val="right"/>
              <w:rPr>
                <w:rFonts w:ascii="Verdana" w:hAnsi="Verdana"/>
                <w:sz w:val="24"/>
                <w:szCs w:val="24"/>
              </w:rPr>
            </w:pPr>
            <w:r>
              <w:rPr>
                <w:rFonts w:ascii="Verdana" w:hAnsi="Verdana"/>
                <w:sz w:val="24"/>
                <w:szCs w:val="24"/>
              </w:rPr>
              <w:t>0</w:t>
            </w:r>
          </w:p>
        </w:tc>
        <w:tc>
          <w:tcPr>
            <w:tcW w:w="1842" w:type="dxa"/>
          </w:tcPr>
          <w:p w:rsidR="00996C7D" w:rsidRDefault="00996C7D" w:rsidP="003F2F19">
            <w:pPr>
              <w:jc w:val="right"/>
              <w:rPr>
                <w:rFonts w:ascii="Verdana" w:hAnsi="Verdana"/>
                <w:sz w:val="24"/>
                <w:szCs w:val="24"/>
              </w:rPr>
            </w:pPr>
            <w:r>
              <w:rPr>
                <w:rFonts w:ascii="Verdana" w:hAnsi="Verdana"/>
                <w:sz w:val="24"/>
                <w:szCs w:val="24"/>
              </w:rPr>
              <w:t>0</w:t>
            </w:r>
          </w:p>
        </w:tc>
      </w:tr>
      <w:tr w:rsidR="00996C7D" w:rsidTr="00996C7D">
        <w:tc>
          <w:tcPr>
            <w:tcW w:w="3119" w:type="dxa"/>
          </w:tcPr>
          <w:p w:rsidR="00996C7D" w:rsidRDefault="00996C7D">
            <w:pPr>
              <w:rPr>
                <w:rFonts w:ascii="Verdana" w:hAnsi="Verdana"/>
                <w:sz w:val="24"/>
                <w:szCs w:val="24"/>
              </w:rPr>
            </w:pPr>
            <w:r>
              <w:rPr>
                <w:rFonts w:ascii="Verdana" w:hAnsi="Verdana"/>
                <w:sz w:val="24"/>
                <w:szCs w:val="24"/>
              </w:rPr>
              <w:t>John Kirk House Lunch</w:t>
            </w:r>
          </w:p>
        </w:tc>
        <w:tc>
          <w:tcPr>
            <w:tcW w:w="1560" w:type="dxa"/>
          </w:tcPr>
          <w:p w:rsidR="00996C7D" w:rsidRDefault="00996C7D" w:rsidP="003F2F19">
            <w:pPr>
              <w:jc w:val="right"/>
              <w:rPr>
                <w:rFonts w:ascii="Verdana" w:hAnsi="Verdana"/>
                <w:sz w:val="24"/>
                <w:szCs w:val="24"/>
              </w:rPr>
            </w:pPr>
            <w:r>
              <w:rPr>
                <w:rFonts w:ascii="Verdana" w:hAnsi="Verdana"/>
                <w:sz w:val="24"/>
                <w:szCs w:val="24"/>
              </w:rPr>
              <w:t>0</w:t>
            </w:r>
          </w:p>
        </w:tc>
        <w:tc>
          <w:tcPr>
            <w:tcW w:w="1134" w:type="dxa"/>
          </w:tcPr>
          <w:p w:rsidR="00996C7D" w:rsidRDefault="00996C7D" w:rsidP="003F2F19">
            <w:pPr>
              <w:jc w:val="right"/>
              <w:rPr>
                <w:rFonts w:ascii="Verdana" w:hAnsi="Verdana"/>
                <w:sz w:val="24"/>
                <w:szCs w:val="24"/>
              </w:rPr>
            </w:pPr>
            <w:r>
              <w:rPr>
                <w:rFonts w:ascii="Verdana" w:hAnsi="Verdana"/>
                <w:sz w:val="24"/>
                <w:szCs w:val="24"/>
              </w:rPr>
              <w:t>10</w:t>
            </w:r>
          </w:p>
        </w:tc>
        <w:tc>
          <w:tcPr>
            <w:tcW w:w="1417" w:type="dxa"/>
          </w:tcPr>
          <w:p w:rsidR="00996C7D" w:rsidRDefault="00996C7D" w:rsidP="003F2F19">
            <w:pPr>
              <w:jc w:val="right"/>
              <w:rPr>
                <w:rFonts w:ascii="Verdana" w:hAnsi="Verdana"/>
                <w:sz w:val="24"/>
                <w:szCs w:val="24"/>
              </w:rPr>
            </w:pPr>
            <w:r>
              <w:rPr>
                <w:rFonts w:ascii="Verdana" w:hAnsi="Verdana"/>
                <w:sz w:val="24"/>
                <w:szCs w:val="24"/>
              </w:rPr>
              <w:t>5</w:t>
            </w:r>
          </w:p>
        </w:tc>
        <w:tc>
          <w:tcPr>
            <w:tcW w:w="1418" w:type="dxa"/>
          </w:tcPr>
          <w:p w:rsidR="00996C7D" w:rsidRDefault="00996C7D" w:rsidP="003F2F19">
            <w:pPr>
              <w:jc w:val="right"/>
              <w:rPr>
                <w:rFonts w:ascii="Verdana" w:hAnsi="Verdana"/>
                <w:sz w:val="24"/>
                <w:szCs w:val="24"/>
              </w:rPr>
            </w:pPr>
            <w:r>
              <w:rPr>
                <w:rFonts w:ascii="Verdana" w:hAnsi="Verdana"/>
                <w:sz w:val="24"/>
                <w:szCs w:val="24"/>
              </w:rPr>
              <w:t>0</w:t>
            </w:r>
          </w:p>
        </w:tc>
        <w:tc>
          <w:tcPr>
            <w:tcW w:w="1842" w:type="dxa"/>
          </w:tcPr>
          <w:p w:rsidR="00996C7D" w:rsidRDefault="00996C7D" w:rsidP="003F2F19">
            <w:pPr>
              <w:jc w:val="right"/>
              <w:rPr>
                <w:rFonts w:ascii="Verdana" w:hAnsi="Verdana"/>
                <w:sz w:val="24"/>
                <w:szCs w:val="24"/>
              </w:rPr>
            </w:pPr>
            <w:r>
              <w:rPr>
                <w:rFonts w:ascii="Verdana" w:hAnsi="Verdana"/>
                <w:sz w:val="24"/>
                <w:szCs w:val="24"/>
              </w:rPr>
              <w:t>0</w:t>
            </w:r>
          </w:p>
        </w:tc>
      </w:tr>
      <w:tr w:rsidR="00996C7D" w:rsidTr="00996C7D">
        <w:tc>
          <w:tcPr>
            <w:tcW w:w="3119" w:type="dxa"/>
          </w:tcPr>
          <w:p w:rsidR="00996C7D" w:rsidRDefault="00996C7D" w:rsidP="00411596">
            <w:pPr>
              <w:rPr>
                <w:rFonts w:ascii="Verdana" w:hAnsi="Verdana"/>
                <w:sz w:val="24"/>
                <w:szCs w:val="24"/>
              </w:rPr>
            </w:pPr>
            <w:r>
              <w:rPr>
                <w:rFonts w:ascii="Verdana" w:hAnsi="Verdana"/>
                <w:sz w:val="24"/>
                <w:szCs w:val="24"/>
              </w:rPr>
              <w:t>Management costs</w:t>
            </w:r>
          </w:p>
        </w:tc>
        <w:tc>
          <w:tcPr>
            <w:tcW w:w="1560" w:type="dxa"/>
          </w:tcPr>
          <w:p w:rsidR="00996C7D" w:rsidRDefault="00996C7D" w:rsidP="00411596">
            <w:pPr>
              <w:jc w:val="right"/>
              <w:rPr>
                <w:rFonts w:ascii="Verdana" w:hAnsi="Verdana"/>
                <w:sz w:val="24"/>
                <w:szCs w:val="24"/>
              </w:rPr>
            </w:pPr>
            <w:r>
              <w:rPr>
                <w:rFonts w:ascii="Verdana" w:hAnsi="Verdana"/>
                <w:sz w:val="24"/>
                <w:szCs w:val="24"/>
              </w:rPr>
              <w:t>1</w:t>
            </w:r>
          </w:p>
        </w:tc>
        <w:tc>
          <w:tcPr>
            <w:tcW w:w="1134" w:type="dxa"/>
          </w:tcPr>
          <w:p w:rsidR="00996C7D" w:rsidRDefault="00996C7D" w:rsidP="00411596">
            <w:pPr>
              <w:jc w:val="right"/>
              <w:rPr>
                <w:rFonts w:ascii="Verdana" w:hAnsi="Verdana"/>
                <w:sz w:val="24"/>
                <w:szCs w:val="24"/>
              </w:rPr>
            </w:pPr>
          </w:p>
        </w:tc>
        <w:tc>
          <w:tcPr>
            <w:tcW w:w="1417" w:type="dxa"/>
          </w:tcPr>
          <w:p w:rsidR="00996C7D" w:rsidRDefault="00996C7D" w:rsidP="00411596">
            <w:pPr>
              <w:jc w:val="right"/>
              <w:rPr>
                <w:rFonts w:ascii="Verdana" w:hAnsi="Verdana"/>
                <w:sz w:val="24"/>
                <w:szCs w:val="24"/>
              </w:rPr>
            </w:pPr>
          </w:p>
        </w:tc>
        <w:tc>
          <w:tcPr>
            <w:tcW w:w="1418" w:type="dxa"/>
          </w:tcPr>
          <w:p w:rsidR="00996C7D" w:rsidRDefault="00996C7D" w:rsidP="00411596">
            <w:pPr>
              <w:jc w:val="right"/>
              <w:rPr>
                <w:rFonts w:ascii="Verdana" w:hAnsi="Verdana"/>
                <w:sz w:val="24"/>
                <w:szCs w:val="24"/>
              </w:rPr>
            </w:pPr>
            <w:r>
              <w:rPr>
                <w:rFonts w:ascii="Verdana" w:hAnsi="Verdana"/>
                <w:sz w:val="24"/>
                <w:szCs w:val="24"/>
              </w:rPr>
              <w:t>£200</w:t>
            </w:r>
          </w:p>
        </w:tc>
        <w:tc>
          <w:tcPr>
            <w:tcW w:w="1842" w:type="dxa"/>
          </w:tcPr>
          <w:p w:rsidR="00996C7D" w:rsidRDefault="00996C7D" w:rsidP="00411596">
            <w:pPr>
              <w:jc w:val="right"/>
              <w:rPr>
                <w:rFonts w:ascii="Verdana" w:hAnsi="Verdana"/>
                <w:sz w:val="24"/>
                <w:szCs w:val="24"/>
              </w:rPr>
            </w:pPr>
            <w:r>
              <w:rPr>
                <w:rFonts w:ascii="Verdana" w:hAnsi="Verdana"/>
                <w:sz w:val="24"/>
                <w:szCs w:val="24"/>
              </w:rPr>
              <w:t>£100</w:t>
            </w:r>
          </w:p>
        </w:tc>
      </w:tr>
      <w:tr w:rsidR="00996C7D" w:rsidTr="00996C7D">
        <w:tc>
          <w:tcPr>
            <w:tcW w:w="5813" w:type="dxa"/>
            <w:gridSpan w:val="3"/>
          </w:tcPr>
          <w:p w:rsidR="00996C7D" w:rsidRDefault="00996C7D" w:rsidP="00411596">
            <w:pPr>
              <w:jc w:val="right"/>
              <w:rPr>
                <w:rFonts w:ascii="Verdana" w:hAnsi="Verdana"/>
                <w:sz w:val="24"/>
                <w:szCs w:val="24"/>
              </w:rPr>
            </w:pPr>
          </w:p>
        </w:tc>
        <w:tc>
          <w:tcPr>
            <w:tcW w:w="1417" w:type="dxa"/>
          </w:tcPr>
          <w:p w:rsidR="00996C7D" w:rsidRDefault="00996C7D" w:rsidP="00411596">
            <w:pPr>
              <w:jc w:val="right"/>
              <w:rPr>
                <w:rFonts w:ascii="Verdana" w:hAnsi="Verdana"/>
                <w:sz w:val="24"/>
                <w:szCs w:val="24"/>
              </w:rPr>
            </w:pPr>
          </w:p>
        </w:tc>
        <w:tc>
          <w:tcPr>
            <w:tcW w:w="1418" w:type="dxa"/>
          </w:tcPr>
          <w:p w:rsidR="00996C7D" w:rsidRDefault="00996C7D" w:rsidP="00411596">
            <w:pPr>
              <w:jc w:val="right"/>
              <w:rPr>
                <w:rFonts w:ascii="Verdana" w:hAnsi="Verdana"/>
                <w:sz w:val="24"/>
                <w:szCs w:val="24"/>
              </w:rPr>
            </w:pPr>
            <w:r>
              <w:rPr>
                <w:rFonts w:ascii="Verdana" w:hAnsi="Verdana"/>
                <w:sz w:val="24"/>
                <w:szCs w:val="24"/>
              </w:rPr>
              <w:t>£1495</w:t>
            </w:r>
          </w:p>
        </w:tc>
        <w:tc>
          <w:tcPr>
            <w:tcW w:w="1842" w:type="dxa"/>
          </w:tcPr>
          <w:p w:rsidR="00996C7D" w:rsidRDefault="00996C7D" w:rsidP="00411596">
            <w:pPr>
              <w:jc w:val="right"/>
              <w:rPr>
                <w:rFonts w:ascii="Verdana" w:hAnsi="Verdana"/>
                <w:sz w:val="24"/>
                <w:szCs w:val="24"/>
              </w:rPr>
            </w:pPr>
            <w:r>
              <w:rPr>
                <w:rFonts w:ascii="Verdana" w:hAnsi="Verdana"/>
                <w:sz w:val="24"/>
                <w:szCs w:val="24"/>
              </w:rPr>
              <w:t>£610</w:t>
            </w:r>
          </w:p>
        </w:tc>
      </w:tr>
    </w:tbl>
    <w:p w:rsidR="00387D66" w:rsidRDefault="00387D66" w:rsidP="00B23688">
      <w:pPr>
        <w:rPr>
          <w:rFonts w:ascii="Verdana" w:hAnsi="Verdana"/>
          <w:sz w:val="24"/>
          <w:szCs w:val="24"/>
        </w:rPr>
      </w:pPr>
    </w:p>
    <w:p w:rsidR="00387D66" w:rsidRDefault="00387D66" w:rsidP="00B23688">
      <w:pPr>
        <w:rPr>
          <w:rFonts w:ascii="Verdana" w:hAnsi="Verdana"/>
          <w:sz w:val="24"/>
          <w:szCs w:val="24"/>
        </w:rPr>
      </w:pPr>
      <w:r>
        <w:rPr>
          <w:rFonts w:ascii="Verdana" w:hAnsi="Verdana"/>
          <w:sz w:val="24"/>
          <w:szCs w:val="24"/>
        </w:rPr>
        <w:t>*</w:t>
      </w:r>
      <w:r w:rsidR="00996C7D">
        <w:rPr>
          <w:rFonts w:ascii="Verdana" w:hAnsi="Verdana"/>
          <w:sz w:val="24"/>
          <w:szCs w:val="24"/>
        </w:rPr>
        <w:t>Children aged between 3 -15 form part of the surrogate family approach</w:t>
      </w:r>
    </w:p>
    <w:p w:rsidR="00996C7D" w:rsidRDefault="00996C7D" w:rsidP="00B23688">
      <w:pPr>
        <w:rPr>
          <w:rFonts w:ascii="Verdana" w:hAnsi="Verdana"/>
          <w:sz w:val="24"/>
          <w:szCs w:val="24"/>
        </w:rPr>
      </w:pPr>
      <w:r>
        <w:rPr>
          <w:rFonts w:ascii="Verdana" w:hAnsi="Verdana"/>
          <w:sz w:val="24"/>
          <w:szCs w:val="24"/>
        </w:rPr>
        <w:t>*</w:t>
      </w:r>
      <w:r w:rsidRPr="00996C7D">
        <w:rPr>
          <w:rFonts w:ascii="Verdana" w:hAnsi="Verdana"/>
          <w:sz w:val="24"/>
          <w:szCs w:val="24"/>
        </w:rPr>
        <w:t xml:space="preserve"> </w:t>
      </w:r>
      <w:r>
        <w:rPr>
          <w:rFonts w:ascii="Verdana" w:hAnsi="Verdana"/>
          <w:sz w:val="24"/>
          <w:szCs w:val="24"/>
        </w:rPr>
        <w:t>Costs include transport, food/drinks. Volunteer expenses and coordinators time and are only estimates</w:t>
      </w:r>
    </w:p>
    <w:p w:rsidR="00F64D54" w:rsidRPr="00B23688" w:rsidRDefault="00F64D54" w:rsidP="00B23688">
      <w:pPr>
        <w:rPr>
          <w:rFonts w:ascii="Verdana" w:hAnsi="Verdana"/>
          <w:sz w:val="24"/>
          <w:szCs w:val="24"/>
        </w:rPr>
      </w:pPr>
    </w:p>
    <w:p w:rsidR="00E6104B" w:rsidRPr="001A5CC3" w:rsidRDefault="001A5CC3" w:rsidP="00E6104B">
      <w:pPr>
        <w:pStyle w:val="Default"/>
        <w:spacing w:line="360" w:lineRule="auto"/>
        <w:rPr>
          <w:rFonts w:ascii="Verdana" w:hAnsi="Verdana" w:cstheme="minorBidi"/>
          <w:b/>
          <w:color w:val="auto"/>
        </w:rPr>
      </w:pPr>
      <w:r w:rsidRPr="001A5CC3">
        <w:rPr>
          <w:rFonts w:ascii="Verdana" w:hAnsi="Verdana" w:cstheme="minorBidi"/>
          <w:b/>
          <w:color w:val="auto"/>
        </w:rPr>
        <w:t>Volunteering</w:t>
      </w:r>
    </w:p>
    <w:p w:rsidR="001A5CC3" w:rsidRDefault="00E9049D" w:rsidP="00E6104B">
      <w:pPr>
        <w:pStyle w:val="Default"/>
        <w:spacing w:line="360" w:lineRule="auto"/>
        <w:rPr>
          <w:rFonts w:ascii="Verdana" w:hAnsi="Verdana" w:cstheme="minorBidi"/>
          <w:color w:val="auto"/>
        </w:rPr>
      </w:pPr>
      <w:r w:rsidRPr="00E9049D">
        <w:rPr>
          <w:noProof/>
        </w:rPr>
        <w:pict>
          <v:shapetype id="_x0000_t202" coordsize="21600,21600" o:spt="202" path="m,l,21600r21600,l21600,xe">
            <v:stroke joinstyle="miter"/>
            <v:path gradientshapeok="t" o:connecttype="rect"/>
          </v:shapetype>
          <v:shape id="_x0000_s1026" type="#_x0000_t202" style="position:absolute;margin-left:255.85pt;margin-top:120.45pt;width:186.75pt;height:12pt;z-index:251660288" wrapcoords="-87 0 -87 20855 21600 20855 21600 0 -87 0" stroked="f">
            <v:textbox inset="0,0,0,0">
              <w:txbxContent>
                <w:p w:rsidR="00F64D54" w:rsidRPr="00E97A00" w:rsidRDefault="00F64D54" w:rsidP="00F64D54">
                  <w:pPr>
                    <w:pStyle w:val="Caption"/>
                    <w:rPr>
                      <w:rFonts w:ascii="Verdana" w:hAnsi="Verdana"/>
                      <w:noProof/>
                      <w:sz w:val="24"/>
                      <w:szCs w:val="24"/>
                    </w:rPr>
                  </w:pPr>
                  <w:r>
                    <w:t>WOW Volunteers at an Intergenerational Lunch</w:t>
                  </w:r>
                </w:p>
              </w:txbxContent>
            </v:textbox>
            <w10:wrap type="tight"/>
          </v:shape>
        </w:pict>
      </w:r>
      <w:r w:rsidR="00F64D54">
        <w:rPr>
          <w:rFonts w:ascii="Verdana" w:hAnsi="Verdana" w:cstheme="minorBidi"/>
          <w:noProof/>
          <w:color w:val="auto"/>
          <w:lang w:eastAsia="en-GB"/>
        </w:rPr>
        <w:drawing>
          <wp:anchor distT="0" distB="0" distL="114300" distR="114300" simplePos="0" relativeHeight="251658240" behindDoc="1" locked="0" layoutInCell="1" allowOverlap="1">
            <wp:simplePos x="0" y="0"/>
            <wp:positionH relativeFrom="column">
              <wp:posOffset>3249295</wp:posOffset>
            </wp:positionH>
            <wp:positionV relativeFrom="paragraph">
              <wp:posOffset>405765</wp:posOffset>
            </wp:positionV>
            <wp:extent cx="2371725" cy="1066800"/>
            <wp:effectExtent l="19050" t="0" r="9525" b="0"/>
            <wp:wrapTight wrapText="bothSides">
              <wp:wrapPolygon edited="0">
                <wp:start x="-173" y="0"/>
                <wp:lineTo x="-173" y="21214"/>
                <wp:lineTo x="21687" y="21214"/>
                <wp:lineTo x="21687" y="0"/>
                <wp:lineTo x="-173" y="0"/>
              </wp:wrapPolygon>
            </wp:wrapTight>
            <wp:docPr id="2" name="Picture 0" descr="11873807_1637352189866020_379797135957452989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73807_1637352189866020_3797971359574529897_n.jpg"/>
                    <pic:cNvPicPr/>
                  </pic:nvPicPr>
                  <pic:blipFill>
                    <a:blip r:embed="rId8" cstate="print"/>
                    <a:stretch>
                      <a:fillRect/>
                    </a:stretch>
                  </pic:blipFill>
                  <pic:spPr>
                    <a:xfrm>
                      <a:off x="0" y="0"/>
                      <a:ext cx="2371725" cy="1066800"/>
                    </a:xfrm>
                    <a:prstGeom prst="rect">
                      <a:avLst/>
                    </a:prstGeom>
                  </pic:spPr>
                </pic:pic>
              </a:graphicData>
            </a:graphic>
          </wp:anchor>
        </w:drawing>
      </w:r>
      <w:r w:rsidR="001A5CC3">
        <w:rPr>
          <w:rFonts w:ascii="Verdana" w:hAnsi="Verdana" w:cstheme="minorBidi"/>
          <w:color w:val="auto"/>
        </w:rPr>
        <w:t>Although there is no standard for assigning a monetary value to volunteering the convention (established by Volunteering England and largely by the voluntary community sector) involve either taking an ‘average’ of local hourly rates of pay or, assigning a value to a comparable ‘task’ undertaken by someone in a paid role.</w:t>
      </w:r>
      <w:r w:rsidR="00F64D54" w:rsidRPr="00F64D54">
        <w:rPr>
          <w:rFonts w:ascii="Verdana" w:hAnsi="Verdana"/>
          <w:noProof/>
          <w:lang w:eastAsia="en-GB"/>
        </w:rPr>
        <w:t xml:space="preserve"> </w:t>
      </w:r>
    </w:p>
    <w:p w:rsidR="001A5CC3" w:rsidRDefault="001A5CC3" w:rsidP="00E6104B">
      <w:pPr>
        <w:pStyle w:val="Default"/>
        <w:spacing w:line="360" w:lineRule="auto"/>
        <w:rPr>
          <w:rFonts w:ascii="Verdana" w:hAnsi="Verdana" w:cstheme="minorBidi"/>
          <w:color w:val="auto"/>
        </w:rPr>
      </w:pPr>
    </w:p>
    <w:p w:rsidR="001A5CC3" w:rsidRDefault="001A5CC3" w:rsidP="00E6104B">
      <w:pPr>
        <w:pStyle w:val="Default"/>
        <w:spacing w:line="360" w:lineRule="auto"/>
        <w:rPr>
          <w:rFonts w:ascii="Verdana" w:hAnsi="Verdana" w:cstheme="minorBidi"/>
          <w:color w:val="auto"/>
        </w:rPr>
      </w:pPr>
      <w:r>
        <w:rPr>
          <w:rFonts w:ascii="Verdana" w:hAnsi="Verdana" w:cstheme="minorBidi"/>
          <w:color w:val="auto"/>
        </w:rPr>
        <w:t>For the WOW intergeneration project this could be either an average gross hourly rate for Wandsworth or a gross hourly rate for (say) care workers.</w:t>
      </w:r>
      <w:r w:rsidR="00562B71" w:rsidRPr="00562B71">
        <w:rPr>
          <w:rStyle w:val="FootnoteReference"/>
          <w:rFonts w:ascii="Verdana" w:hAnsi="Verdana" w:cstheme="minorBidi"/>
          <w:color w:val="auto"/>
        </w:rPr>
        <w:t xml:space="preserve"> </w:t>
      </w:r>
      <w:r w:rsidR="00562B71">
        <w:rPr>
          <w:rStyle w:val="FootnoteReference"/>
          <w:rFonts w:ascii="Verdana" w:hAnsi="Verdana" w:cstheme="minorBidi"/>
          <w:color w:val="auto"/>
        </w:rPr>
        <w:footnoteReference w:id="1"/>
      </w:r>
    </w:p>
    <w:p w:rsidR="00790579" w:rsidRDefault="00790579" w:rsidP="00E6104B">
      <w:pPr>
        <w:pStyle w:val="Default"/>
        <w:spacing w:line="360" w:lineRule="auto"/>
        <w:rPr>
          <w:rFonts w:ascii="Verdana" w:hAnsi="Verdana" w:cstheme="minorBidi"/>
          <w:color w:val="auto"/>
        </w:rPr>
      </w:pPr>
    </w:p>
    <w:p w:rsidR="00790579" w:rsidRDefault="00790579" w:rsidP="00E6104B">
      <w:pPr>
        <w:pStyle w:val="Default"/>
        <w:spacing w:line="360" w:lineRule="auto"/>
        <w:rPr>
          <w:rFonts w:ascii="Verdana" w:hAnsi="Verdana" w:cstheme="minorBidi"/>
          <w:color w:val="auto"/>
        </w:rPr>
      </w:pPr>
      <w:r>
        <w:rPr>
          <w:rFonts w:ascii="Verdana" w:hAnsi="Verdana" w:cstheme="minorBidi"/>
          <w:color w:val="auto"/>
        </w:rPr>
        <w:t xml:space="preserve">For our purposes a simpler method takes the London Living Wage as the standard (currently £9.15) and applies this to an estimate of volunteer time allocated to WOW projects and events. It is to be expected that while the ‘number of volunteers’ may involve double counting, the amount of time spent volunteering does not. </w:t>
      </w:r>
    </w:p>
    <w:p w:rsidR="00790579" w:rsidRDefault="00790579" w:rsidP="00E6104B">
      <w:pPr>
        <w:pStyle w:val="Default"/>
        <w:spacing w:line="360" w:lineRule="auto"/>
        <w:rPr>
          <w:rFonts w:ascii="Verdana" w:hAnsi="Verdana" w:cstheme="minorBidi"/>
          <w:color w:val="auto"/>
        </w:rPr>
      </w:pPr>
    </w:p>
    <w:p w:rsidR="00562B71" w:rsidRDefault="00790579" w:rsidP="00E6104B">
      <w:pPr>
        <w:pStyle w:val="Default"/>
        <w:spacing w:line="360" w:lineRule="auto"/>
        <w:rPr>
          <w:rFonts w:ascii="Verdana" w:hAnsi="Verdana" w:cstheme="minorBidi"/>
          <w:color w:val="auto"/>
        </w:rPr>
      </w:pPr>
      <w:r>
        <w:rPr>
          <w:rFonts w:ascii="Verdana" w:hAnsi="Verdana" w:cstheme="minorBidi"/>
          <w:color w:val="auto"/>
        </w:rPr>
        <w:t xml:space="preserve">On this basis we estimate that </w:t>
      </w:r>
      <w:r w:rsidR="00716C2A">
        <w:rPr>
          <w:rFonts w:ascii="Verdana" w:hAnsi="Verdana" w:cstheme="minorBidi"/>
          <w:color w:val="auto"/>
        </w:rPr>
        <w:t>volunteering time in the WOW project has been roughly equivalent to £495 of paid work.</w:t>
      </w:r>
      <w:r w:rsidR="008941DF">
        <w:rPr>
          <w:rFonts w:ascii="Verdana" w:hAnsi="Verdana" w:cstheme="minorBidi"/>
          <w:color w:val="auto"/>
        </w:rPr>
        <w:t xml:space="preserve"> </w:t>
      </w:r>
      <w:r>
        <w:rPr>
          <w:rFonts w:ascii="Verdana" w:hAnsi="Verdana" w:cstheme="minorBidi"/>
          <w:color w:val="auto"/>
        </w:rPr>
        <w:t xml:space="preserve">(BBQ = 9x9.15x2 = </w:t>
      </w:r>
      <w:r w:rsidR="00716C2A">
        <w:rPr>
          <w:rFonts w:ascii="Verdana" w:hAnsi="Verdana" w:cstheme="minorBidi"/>
          <w:color w:val="auto"/>
        </w:rPr>
        <w:t>£165; Theatre</w:t>
      </w:r>
      <w:r>
        <w:rPr>
          <w:rFonts w:ascii="Verdana" w:hAnsi="Verdana" w:cstheme="minorBidi"/>
          <w:color w:val="auto"/>
        </w:rPr>
        <w:t xml:space="preserve"> = 3x9.15x4 = </w:t>
      </w:r>
      <w:r w:rsidR="00716C2A">
        <w:rPr>
          <w:rFonts w:ascii="Verdana" w:hAnsi="Verdana" w:cstheme="minorBidi"/>
          <w:color w:val="auto"/>
        </w:rPr>
        <w:t>£110; Margate Trip = 3x9.15x6</w:t>
      </w:r>
      <w:r>
        <w:rPr>
          <w:rFonts w:ascii="Verdana" w:hAnsi="Verdana" w:cstheme="minorBidi"/>
          <w:color w:val="auto"/>
        </w:rPr>
        <w:t xml:space="preserve"> =</w:t>
      </w:r>
      <w:r w:rsidR="00716C2A">
        <w:rPr>
          <w:rFonts w:ascii="Verdana" w:hAnsi="Verdana" w:cstheme="minorBidi"/>
          <w:color w:val="auto"/>
        </w:rPr>
        <w:t xml:space="preserve"> £165; Haven Lunch = 3x9.15x2 = £55)</w:t>
      </w:r>
    </w:p>
    <w:p w:rsidR="000C5CFA" w:rsidRDefault="000C5CFA" w:rsidP="00E6104B">
      <w:pPr>
        <w:pStyle w:val="Default"/>
        <w:spacing w:line="360" w:lineRule="auto"/>
        <w:rPr>
          <w:rFonts w:ascii="Verdana" w:hAnsi="Verdana" w:cstheme="minorBidi"/>
          <w:color w:val="auto"/>
        </w:rPr>
      </w:pPr>
    </w:p>
    <w:p w:rsidR="000C5CFA" w:rsidRPr="000C5CFA" w:rsidRDefault="000C5CFA" w:rsidP="00E6104B">
      <w:pPr>
        <w:pStyle w:val="Default"/>
        <w:spacing w:line="360" w:lineRule="auto"/>
        <w:rPr>
          <w:rFonts w:ascii="Verdana" w:hAnsi="Verdana" w:cstheme="minorBidi"/>
          <w:b/>
          <w:color w:val="auto"/>
        </w:rPr>
      </w:pPr>
      <w:r w:rsidRPr="000C5CFA">
        <w:rPr>
          <w:rFonts w:ascii="Verdana" w:hAnsi="Verdana" w:cstheme="minorBidi"/>
          <w:b/>
          <w:color w:val="auto"/>
        </w:rPr>
        <w:t xml:space="preserve">Overall Costs to Date </w:t>
      </w:r>
    </w:p>
    <w:p w:rsidR="001A5CC3" w:rsidRDefault="000C5CFA" w:rsidP="00E6104B">
      <w:pPr>
        <w:pStyle w:val="Default"/>
        <w:spacing w:line="360" w:lineRule="auto"/>
        <w:rPr>
          <w:rFonts w:ascii="Verdana" w:hAnsi="Verdana" w:cstheme="minorBidi"/>
          <w:color w:val="auto"/>
        </w:rPr>
      </w:pPr>
      <w:r>
        <w:rPr>
          <w:rFonts w:ascii="Verdana" w:hAnsi="Verdana" w:cstheme="minorBidi"/>
          <w:color w:val="auto"/>
        </w:rPr>
        <w:t xml:space="preserve">The costs for travel, sustenance, equipment and management are £1495 the ‘contribution’ of volunteers is about £495 and the SW11 contribution has been £610. Therefore SW11’s investment of £610 has </w:t>
      </w:r>
      <w:r>
        <w:rPr>
          <w:rFonts w:ascii="Verdana" w:hAnsi="Verdana" w:cstheme="minorBidi"/>
          <w:color w:val="auto"/>
        </w:rPr>
        <w:lastRenderedPageBreak/>
        <w:t>produced a monetary</w:t>
      </w:r>
      <w:r w:rsidR="008941DF">
        <w:rPr>
          <w:rFonts w:ascii="Verdana" w:hAnsi="Verdana" w:cstheme="minorBidi"/>
          <w:color w:val="auto"/>
        </w:rPr>
        <w:t xml:space="preserve"> equivalent ‘benefit’ of £1,990</w:t>
      </w:r>
      <w:r w:rsidR="00AD4539">
        <w:rPr>
          <w:rFonts w:ascii="Verdana" w:hAnsi="Verdana" w:cstheme="minorBidi"/>
          <w:color w:val="auto"/>
        </w:rPr>
        <w:t xml:space="preserve"> or £</w:t>
      </w:r>
      <w:r w:rsidR="008941DF">
        <w:rPr>
          <w:rFonts w:ascii="Verdana" w:hAnsi="Verdana" w:cstheme="minorBidi"/>
          <w:color w:val="auto"/>
        </w:rPr>
        <w:t>1 of Big Funding has produced £3</w:t>
      </w:r>
      <w:r w:rsidR="00AD4539">
        <w:rPr>
          <w:rFonts w:ascii="Verdana" w:hAnsi="Verdana" w:cstheme="minorBidi"/>
          <w:color w:val="auto"/>
        </w:rPr>
        <w:t xml:space="preserve"> of additional value.</w:t>
      </w:r>
    </w:p>
    <w:p w:rsidR="000C5CFA" w:rsidRDefault="000C5CFA" w:rsidP="00E6104B">
      <w:pPr>
        <w:pStyle w:val="Default"/>
        <w:spacing w:line="360" w:lineRule="auto"/>
        <w:rPr>
          <w:rFonts w:ascii="Verdana" w:hAnsi="Verdana" w:cstheme="minorBidi"/>
          <w:color w:val="auto"/>
        </w:rPr>
      </w:pPr>
    </w:p>
    <w:p w:rsidR="000C5CFA" w:rsidRDefault="000C5CFA" w:rsidP="00E6104B">
      <w:pPr>
        <w:pStyle w:val="Default"/>
        <w:spacing w:line="360" w:lineRule="auto"/>
        <w:rPr>
          <w:rFonts w:ascii="Verdana" w:hAnsi="Verdana" w:cstheme="minorBidi"/>
          <w:color w:val="auto"/>
        </w:rPr>
      </w:pPr>
      <w:r>
        <w:rPr>
          <w:rFonts w:ascii="Verdana" w:hAnsi="Verdana" w:cstheme="minorBidi"/>
          <w:color w:val="auto"/>
        </w:rPr>
        <w:t xml:space="preserve">Is this value for money! </w:t>
      </w:r>
      <w:r w:rsidR="00723F94">
        <w:rPr>
          <w:rFonts w:ascii="Verdana" w:hAnsi="Verdana" w:cstheme="minorBidi"/>
          <w:color w:val="auto"/>
        </w:rPr>
        <w:t xml:space="preserve">Bearing in mind that this assessment is based on a mid-term evaluation it would appear </w:t>
      </w:r>
      <w:r>
        <w:rPr>
          <w:rFonts w:ascii="Verdana" w:hAnsi="Verdana" w:cstheme="minorBidi"/>
          <w:color w:val="auto"/>
        </w:rPr>
        <w:t>to be a very good return but its ‘true’ value will depend on a three other considerations:</w:t>
      </w:r>
    </w:p>
    <w:p w:rsidR="000C5CFA" w:rsidRDefault="000C5CFA" w:rsidP="00E6104B">
      <w:pPr>
        <w:pStyle w:val="Default"/>
        <w:spacing w:line="360" w:lineRule="auto"/>
        <w:rPr>
          <w:rFonts w:ascii="Verdana" w:hAnsi="Verdana" w:cstheme="minorBidi"/>
          <w:color w:val="auto"/>
        </w:rPr>
      </w:pPr>
    </w:p>
    <w:p w:rsidR="000C5CFA" w:rsidRDefault="000C5CFA" w:rsidP="000C5CFA">
      <w:pPr>
        <w:pStyle w:val="Default"/>
        <w:numPr>
          <w:ilvl w:val="0"/>
          <w:numId w:val="9"/>
        </w:numPr>
        <w:spacing w:line="360" w:lineRule="auto"/>
        <w:rPr>
          <w:rFonts w:ascii="Verdana" w:hAnsi="Verdana" w:cstheme="minorBidi"/>
          <w:color w:val="auto"/>
        </w:rPr>
      </w:pPr>
      <w:r>
        <w:rPr>
          <w:rFonts w:ascii="Verdana" w:hAnsi="Verdana" w:cstheme="minorBidi"/>
          <w:color w:val="auto"/>
        </w:rPr>
        <w:t xml:space="preserve">The ‘outcomes’, </w:t>
      </w:r>
    </w:p>
    <w:p w:rsidR="000C5CFA" w:rsidRDefault="000C5CFA" w:rsidP="000C5CFA">
      <w:pPr>
        <w:pStyle w:val="Default"/>
        <w:numPr>
          <w:ilvl w:val="0"/>
          <w:numId w:val="9"/>
        </w:numPr>
        <w:spacing w:line="360" w:lineRule="auto"/>
        <w:rPr>
          <w:rFonts w:ascii="Verdana" w:hAnsi="Verdana" w:cstheme="minorBidi"/>
          <w:color w:val="auto"/>
        </w:rPr>
      </w:pPr>
      <w:r>
        <w:rPr>
          <w:rFonts w:ascii="Verdana" w:hAnsi="Verdana" w:cstheme="minorBidi"/>
          <w:color w:val="auto"/>
        </w:rPr>
        <w:t>How these costs compare with similar projects and;</w:t>
      </w:r>
    </w:p>
    <w:p w:rsidR="000C5CFA" w:rsidRDefault="000C5CFA" w:rsidP="000C5CFA">
      <w:pPr>
        <w:pStyle w:val="Default"/>
        <w:numPr>
          <w:ilvl w:val="0"/>
          <w:numId w:val="9"/>
        </w:numPr>
        <w:spacing w:line="360" w:lineRule="auto"/>
        <w:rPr>
          <w:rFonts w:ascii="Verdana" w:hAnsi="Verdana" w:cstheme="minorBidi"/>
          <w:color w:val="auto"/>
        </w:rPr>
      </w:pPr>
      <w:r>
        <w:rPr>
          <w:rFonts w:ascii="Verdana" w:hAnsi="Verdana" w:cstheme="minorBidi"/>
          <w:color w:val="auto"/>
        </w:rPr>
        <w:t>Whether better outcomes could have been delivered taking a different approach.</w:t>
      </w:r>
    </w:p>
    <w:p w:rsidR="000C5CFA" w:rsidRDefault="000C5CFA" w:rsidP="00E6104B">
      <w:pPr>
        <w:pStyle w:val="Default"/>
        <w:spacing w:line="360" w:lineRule="auto"/>
        <w:rPr>
          <w:rFonts w:ascii="Verdana" w:hAnsi="Verdana" w:cstheme="minorBidi"/>
          <w:color w:val="auto"/>
        </w:rPr>
      </w:pPr>
    </w:p>
    <w:p w:rsidR="00387D66" w:rsidRDefault="00387D66" w:rsidP="00E6104B">
      <w:pPr>
        <w:pStyle w:val="Default"/>
        <w:spacing w:line="360" w:lineRule="auto"/>
        <w:rPr>
          <w:rFonts w:ascii="Verdana" w:hAnsi="Verdana" w:cstheme="minorBidi"/>
          <w:b/>
          <w:color w:val="auto"/>
        </w:rPr>
      </w:pPr>
      <w:r>
        <w:rPr>
          <w:rFonts w:ascii="Verdana" w:hAnsi="Verdana" w:cstheme="minorBidi"/>
          <w:b/>
          <w:color w:val="auto"/>
        </w:rPr>
        <w:t>Outcomes</w:t>
      </w:r>
    </w:p>
    <w:tbl>
      <w:tblPr>
        <w:tblStyle w:val="TableGrid"/>
        <w:tblW w:w="0" w:type="auto"/>
        <w:tblLook w:val="04A0"/>
      </w:tblPr>
      <w:tblGrid>
        <w:gridCol w:w="3936"/>
        <w:gridCol w:w="4903"/>
      </w:tblGrid>
      <w:tr w:rsidR="00387D66" w:rsidTr="000F5B9A">
        <w:tc>
          <w:tcPr>
            <w:tcW w:w="3936" w:type="dxa"/>
          </w:tcPr>
          <w:p w:rsidR="00387D66" w:rsidRPr="00387D66" w:rsidRDefault="00387D66" w:rsidP="00387D66">
            <w:pPr>
              <w:rPr>
                <w:rFonts w:ascii="Verdana" w:hAnsi="Verdana"/>
                <w:b/>
                <w:sz w:val="24"/>
                <w:szCs w:val="24"/>
              </w:rPr>
            </w:pPr>
            <w:r w:rsidRPr="00387D66">
              <w:rPr>
                <w:rFonts w:ascii="Verdana" w:hAnsi="Verdana"/>
                <w:b/>
                <w:sz w:val="24"/>
                <w:szCs w:val="24"/>
              </w:rPr>
              <w:t>SW11 Big Local Agreement</w:t>
            </w:r>
          </w:p>
        </w:tc>
        <w:tc>
          <w:tcPr>
            <w:tcW w:w="4903" w:type="dxa"/>
          </w:tcPr>
          <w:p w:rsidR="00387D66" w:rsidRDefault="00387D66" w:rsidP="00E6104B">
            <w:pPr>
              <w:pStyle w:val="Default"/>
              <w:spacing w:line="360" w:lineRule="auto"/>
              <w:rPr>
                <w:rFonts w:ascii="Verdana" w:hAnsi="Verdana" w:cstheme="minorBidi"/>
                <w:b/>
                <w:color w:val="auto"/>
              </w:rPr>
            </w:pPr>
            <w:r>
              <w:rPr>
                <w:rFonts w:ascii="Verdana" w:hAnsi="Verdana" w:cstheme="minorBidi"/>
                <w:b/>
                <w:color w:val="auto"/>
              </w:rPr>
              <w:t>Actual Outcome and comments</w:t>
            </w:r>
          </w:p>
        </w:tc>
      </w:tr>
      <w:tr w:rsidR="00387D66" w:rsidTr="000F5B9A">
        <w:tc>
          <w:tcPr>
            <w:tcW w:w="3936" w:type="dxa"/>
          </w:tcPr>
          <w:p w:rsidR="00387D66" w:rsidRPr="00387D66" w:rsidRDefault="00387D66" w:rsidP="00387D66">
            <w:pPr>
              <w:rPr>
                <w:rFonts w:ascii="Verdana" w:hAnsi="Verdana"/>
                <w:sz w:val="24"/>
                <w:szCs w:val="24"/>
              </w:rPr>
            </w:pPr>
            <w:r w:rsidRPr="00387D66">
              <w:rPr>
                <w:rFonts w:ascii="Verdana" w:hAnsi="Verdana"/>
                <w:sz w:val="24"/>
                <w:szCs w:val="24"/>
              </w:rPr>
              <w:t xml:space="preserve">An increase in intergenerational  work </w:t>
            </w:r>
          </w:p>
        </w:tc>
        <w:tc>
          <w:tcPr>
            <w:tcW w:w="4903" w:type="dxa"/>
          </w:tcPr>
          <w:p w:rsidR="00387D66" w:rsidRPr="00387D66" w:rsidRDefault="00387D66" w:rsidP="000F5B9A">
            <w:pPr>
              <w:pStyle w:val="Default"/>
              <w:rPr>
                <w:rFonts w:ascii="Verdana" w:hAnsi="Verdana" w:cstheme="minorBidi"/>
                <w:color w:val="auto"/>
              </w:rPr>
            </w:pPr>
            <w:r>
              <w:rPr>
                <w:rFonts w:ascii="Verdana" w:hAnsi="Verdana" w:cstheme="minorBidi"/>
                <w:color w:val="auto"/>
              </w:rPr>
              <w:t xml:space="preserve">Achieved </w:t>
            </w:r>
            <w:r w:rsidR="000F5B9A">
              <w:rPr>
                <w:rFonts w:ascii="Verdana" w:hAnsi="Verdana" w:cstheme="minorBidi"/>
                <w:color w:val="auto"/>
              </w:rPr>
              <w:t>–</w:t>
            </w:r>
            <w:r>
              <w:rPr>
                <w:rFonts w:ascii="Verdana" w:hAnsi="Verdana" w:cstheme="minorBidi"/>
                <w:color w:val="auto"/>
              </w:rPr>
              <w:t xml:space="preserve"> </w:t>
            </w:r>
            <w:r w:rsidR="000F5B9A">
              <w:rPr>
                <w:rFonts w:ascii="Verdana" w:hAnsi="Verdana" w:cstheme="minorBidi"/>
                <w:color w:val="auto"/>
              </w:rPr>
              <w:t>specifying an ‘increase’ in an activity would require the project to be able to state the level of activity before the events took place.</w:t>
            </w:r>
            <w:r w:rsidR="00F64D54">
              <w:rPr>
                <w:rFonts w:ascii="Verdana" w:hAnsi="Verdana" w:cstheme="minorBidi"/>
                <w:color w:val="auto"/>
              </w:rPr>
              <w:t xml:space="preserve"> Future engagement events might want to consider including this as part of the preparation. </w:t>
            </w:r>
          </w:p>
        </w:tc>
      </w:tr>
      <w:tr w:rsidR="00387D66" w:rsidTr="000F5B9A">
        <w:tc>
          <w:tcPr>
            <w:tcW w:w="3936" w:type="dxa"/>
          </w:tcPr>
          <w:p w:rsidR="00387D66" w:rsidRPr="00387D66" w:rsidRDefault="00387D66" w:rsidP="00387D66">
            <w:pPr>
              <w:rPr>
                <w:rFonts w:ascii="Verdana" w:hAnsi="Verdana"/>
                <w:sz w:val="24"/>
                <w:szCs w:val="24"/>
              </w:rPr>
            </w:pPr>
            <w:r w:rsidRPr="00387D66">
              <w:rPr>
                <w:rFonts w:ascii="Verdana" w:hAnsi="Verdana"/>
                <w:sz w:val="24"/>
                <w:szCs w:val="24"/>
              </w:rPr>
              <w:t xml:space="preserve">To grow sense of inclusion among elderly </w:t>
            </w:r>
          </w:p>
        </w:tc>
        <w:tc>
          <w:tcPr>
            <w:tcW w:w="4903" w:type="dxa"/>
          </w:tcPr>
          <w:p w:rsidR="00387D66" w:rsidRPr="000F5B9A" w:rsidRDefault="00AD4539" w:rsidP="000F5B9A">
            <w:pPr>
              <w:pStyle w:val="Default"/>
              <w:rPr>
                <w:rFonts w:ascii="Verdana" w:hAnsi="Verdana" w:cstheme="minorBidi"/>
                <w:color w:val="auto"/>
              </w:rPr>
            </w:pPr>
            <w:r>
              <w:rPr>
                <w:rFonts w:ascii="Verdana" w:hAnsi="Verdana" w:cstheme="minorBidi"/>
                <w:color w:val="auto"/>
              </w:rPr>
              <w:t xml:space="preserve">Not evidenced </w:t>
            </w:r>
            <w:r w:rsidR="00F64D54">
              <w:rPr>
                <w:rFonts w:ascii="Verdana" w:hAnsi="Verdana" w:cstheme="minorBidi"/>
                <w:color w:val="auto"/>
              </w:rPr>
              <w:t xml:space="preserve">– intuitively bringing younger and older people together will contribute to a sense of inclusion, but it is questionable whether one-off or isolated events will sustain this.  </w:t>
            </w:r>
            <w:r w:rsidR="006B42F5">
              <w:rPr>
                <w:rFonts w:ascii="Verdana" w:hAnsi="Verdana" w:cstheme="minorBidi"/>
                <w:color w:val="auto"/>
              </w:rPr>
              <w:t>Evidence needs to be drawn from observations and comments made by participants.</w:t>
            </w:r>
          </w:p>
        </w:tc>
      </w:tr>
      <w:tr w:rsidR="00387D66" w:rsidTr="000F5B9A">
        <w:tc>
          <w:tcPr>
            <w:tcW w:w="3936" w:type="dxa"/>
          </w:tcPr>
          <w:p w:rsidR="00387D66" w:rsidRPr="00387D66" w:rsidRDefault="00387D66" w:rsidP="00387D66">
            <w:pPr>
              <w:rPr>
                <w:rFonts w:ascii="Verdana" w:hAnsi="Verdana"/>
                <w:sz w:val="24"/>
                <w:szCs w:val="24"/>
              </w:rPr>
            </w:pPr>
            <w:r w:rsidRPr="00387D66">
              <w:rPr>
                <w:rFonts w:ascii="Verdana" w:hAnsi="Verdana"/>
                <w:sz w:val="24"/>
                <w:szCs w:val="24"/>
              </w:rPr>
              <w:t xml:space="preserve">To connect people together </w:t>
            </w:r>
          </w:p>
        </w:tc>
        <w:tc>
          <w:tcPr>
            <w:tcW w:w="4903" w:type="dxa"/>
          </w:tcPr>
          <w:p w:rsidR="00387D66" w:rsidRPr="000F5B9A" w:rsidRDefault="000F5B9A" w:rsidP="000F5B9A">
            <w:pPr>
              <w:pStyle w:val="Default"/>
              <w:rPr>
                <w:rFonts w:ascii="Verdana" w:hAnsi="Verdana" w:cstheme="minorBidi"/>
                <w:color w:val="auto"/>
              </w:rPr>
            </w:pPr>
            <w:r w:rsidRPr="000F5B9A">
              <w:rPr>
                <w:rFonts w:ascii="Verdana" w:hAnsi="Verdana" w:cstheme="minorBidi"/>
                <w:color w:val="auto"/>
              </w:rPr>
              <w:t xml:space="preserve">Achieved </w:t>
            </w:r>
            <w:r w:rsidR="006B42F5">
              <w:rPr>
                <w:rFonts w:ascii="Verdana" w:hAnsi="Verdana" w:cstheme="minorBidi"/>
                <w:color w:val="auto"/>
              </w:rPr>
              <w:t>–</w:t>
            </w:r>
            <w:r w:rsidRPr="000F5B9A">
              <w:rPr>
                <w:rFonts w:ascii="Verdana" w:hAnsi="Verdana" w:cstheme="minorBidi"/>
                <w:color w:val="auto"/>
              </w:rPr>
              <w:t xml:space="preserve"> </w:t>
            </w:r>
            <w:r w:rsidR="006B42F5">
              <w:rPr>
                <w:rFonts w:ascii="Verdana" w:hAnsi="Verdana" w:cstheme="minorBidi"/>
                <w:color w:val="auto"/>
              </w:rPr>
              <w:t>but, connecting people is more of an output – what happens as a result is the outcome</w:t>
            </w:r>
          </w:p>
        </w:tc>
      </w:tr>
      <w:tr w:rsidR="00387D66" w:rsidTr="000F5B9A">
        <w:tc>
          <w:tcPr>
            <w:tcW w:w="3936" w:type="dxa"/>
          </w:tcPr>
          <w:p w:rsidR="00387D66" w:rsidRPr="00387D66" w:rsidRDefault="00387D66" w:rsidP="00387D66">
            <w:pPr>
              <w:rPr>
                <w:rFonts w:ascii="Verdana" w:hAnsi="Verdana"/>
                <w:sz w:val="24"/>
                <w:szCs w:val="24"/>
              </w:rPr>
            </w:pPr>
            <w:r w:rsidRPr="00387D66">
              <w:rPr>
                <w:rFonts w:ascii="Verdana" w:hAnsi="Verdana"/>
                <w:sz w:val="24"/>
                <w:szCs w:val="24"/>
              </w:rPr>
              <w:t xml:space="preserve">To grow citizenship among young people </w:t>
            </w:r>
          </w:p>
        </w:tc>
        <w:tc>
          <w:tcPr>
            <w:tcW w:w="4903" w:type="dxa"/>
          </w:tcPr>
          <w:p w:rsidR="00387D66" w:rsidRPr="000F5B9A" w:rsidRDefault="00AD4539" w:rsidP="000F5B9A">
            <w:pPr>
              <w:pStyle w:val="Default"/>
              <w:rPr>
                <w:rFonts w:ascii="Verdana" w:hAnsi="Verdana" w:cstheme="minorBidi"/>
                <w:color w:val="auto"/>
              </w:rPr>
            </w:pPr>
            <w:r>
              <w:rPr>
                <w:rFonts w:ascii="Verdana" w:hAnsi="Verdana" w:cstheme="minorBidi"/>
                <w:color w:val="auto"/>
              </w:rPr>
              <w:t xml:space="preserve">Not evidenced </w:t>
            </w:r>
            <w:r w:rsidR="00F64D54">
              <w:rPr>
                <w:rFonts w:ascii="Verdana" w:hAnsi="Verdana" w:cstheme="minorBidi"/>
                <w:color w:val="auto"/>
              </w:rPr>
              <w:t>–</w:t>
            </w:r>
            <w:r>
              <w:rPr>
                <w:rFonts w:ascii="Verdana" w:hAnsi="Verdana" w:cstheme="minorBidi"/>
                <w:color w:val="auto"/>
              </w:rPr>
              <w:t xml:space="preserve"> </w:t>
            </w:r>
            <w:r w:rsidR="00F64D54">
              <w:rPr>
                <w:rFonts w:ascii="Verdana" w:hAnsi="Verdana" w:cstheme="minorBidi"/>
                <w:color w:val="auto"/>
              </w:rPr>
              <w:t xml:space="preserve">‘citizenship’ is difficult to define and even more difficult to evidence. </w:t>
            </w:r>
          </w:p>
        </w:tc>
      </w:tr>
      <w:tr w:rsidR="00387D66" w:rsidTr="000F5B9A">
        <w:tc>
          <w:tcPr>
            <w:tcW w:w="3936" w:type="dxa"/>
          </w:tcPr>
          <w:p w:rsidR="00387D66" w:rsidRDefault="00387D66" w:rsidP="00387D66">
            <w:r w:rsidRPr="00C0698D">
              <w:rPr>
                <w:rFonts w:ascii="Verdana" w:hAnsi="Verdana"/>
                <w:sz w:val="24"/>
                <w:szCs w:val="24"/>
              </w:rPr>
              <w:t xml:space="preserve">To pilot a scheme for others to learn from </w:t>
            </w:r>
          </w:p>
        </w:tc>
        <w:tc>
          <w:tcPr>
            <w:tcW w:w="4903" w:type="dxa"/>
          </w:tcPr>
          <w:p w:rsidR="00387D66" w:rsidRPr="000F5B9A" w:rsidRDefault="000F5B9A" w:rsidP="000F5B9A">
            <w:pPr>
              <w:pStyle w:val="Default"/>
              <w:rPr>
                <w:rFonts w:ascii="Verdana" w:hAnsi="Verdana" w:cstheme="minorBidi"/>
                <w:color w:val="auto"/>
              </w:rPr>
            </w:pPr>
            <w:r>
              <w:rPr>
                <w:rFonts w:ascii="Verdana" w:hAnsi="Verdana" w:cstheme="minorBidi"/>
                <w:color w:val="auto"/>
              </w:rPr>
              <w:t>Achieved</w:t>
            </w:r>
            <w:r w:rsidR="00AD4539">
              <w:rPr>
                <w:rFonts w:ascii="Verdana" w:hAnsi="Verdana" w:cstheme="minorBidi"/>
                <w:color w:val="auto"/>
              </w:rPr>
              <w:t xml:space="preserve"> </w:t>
            </w:r>
            <w:r w:rsidR="00F64D54">
              <w:rPr>
                <w:rFonts w:ascii="Verdana" w:hAnsi="Verdana" w:cstheme="minorBidi"/>
                <w:color w:val="auto"/>
              </w:rPr>
              <w:t>–</w:t>
            </w:r>
            <w:r w:rsidR="00AD4539">
              <w:rPr>
                <w:rFonts w:ascii="Verdana" w:hAnsi="Verdana" w:cstheme="minorBidi"/>
                <w:color w:val="auto"/>
              </w:rPr>
              <w:t xml:space="preserve"> </w:t>
            </w:r>
            <w:r w:rsidR="00F64D54">
              <w:rPr>
                <w:rFonts w:ascii="Verdana" w:hAnsi="Verdana" w:cstheme="minorBidi"/>
                <w:color w:val="auto"/>
              </w:rPr>
              <w:t xml:space="preserve">the pilot aspect has been very successful but that ‘learning’ element needs to be more clearly defined (see below – Learning). </w:t>
            </w:r>
            <w:r w:rsidR="00996C7D">
              <w:rPr>
                <w:rFonts w:ascii="Verdana" w:hAnsi="Verdana" w:cstheme="minorBidi"/>
                <w:color w:val="auto"/>
              </w:rPr>
              <w:t xml:space="preserve">Involving young people from the </w:t>
            </w:r>
            <w:r w:rsidR="00996C7D">
              <w:rPr>
                <w:rFonts w:ascii="Verdana" w:hAnsi="Verdana" w:cstheme="minorBidi"/>
                <w:color w:val="auto"/>
              </w:rPr>
              <w:lastRenderedPageBreak/>
              <w:t>Challenge may provide useful learning.</w:t>
            </w:r>
          </w:p>
        </w:tc>
      </w:tr>
    </w:tbl>
    <w:p w:rsidR="00387D66" w:rsidRDefault="00387D66" w:rsidP="00E6104B">
      <w:pPr>
        <w:pStyle w:val="Default"/>
        <w:spacing w:line="360" w:lineRule="auto"/>
        <w:rPr>
          <w:rFonts w:ascii="Verdana" w:hAnsi="Verdana" w:cstheme="minorBidi"/>
          <w:b/>
          <w:color w:val="auto"/>
        </w:rPr>
      </w:pPr>
    </w:p>
    <w:p w:rsidR="00387D66" w:rsidRDefault="00387D66" w:rsidP="00E6104B">
      <w:pPr>
        <w:pStyle w:val="Default"/>
        <w:spacing w:line="360" w:lineRule="auto"/>
        <w:rPr>
          <w:rFonts w:ascii="Verdana" w:hAnsi="Verdana" w:cstheme="minorBidi"/>
          <w:b/>
          <w:color w:val="auto"/>
        </w:rPr>
      </w:pPr>
    </w:p>
    <w:p w:rsidR="00387D66" w:rsidRPr="00387D66" w:rsidRDefault="00387D66" w:rsidP="00E6104B">
      <w:pPr>
        <w:pStyle w:val="Default"/>
        <w:spacing w:line="360" w:lineRule="auto"/>
        <w:rPr>
          <w:rFonts w:ascii="Verdana" w:hAnsi="Verdana" w:cstheme="minorBidi"/>
          <w:b/>
          <w:color w:val="auto"/>
        </w:rPr>
      </w:pPr>
      <w:r w:rsidRPr="00387D66">
        <w:rPr>
          <w:rFonts w:ascii="Verdana" w:hAnsi="Verdana" w:cstheme="minorBidi"/>
          <w:b/>
          <w:color w:val="auto"/>
        </w:rPr>
        <w:t>Unintended Outcomes</w:t>
      </w:r>
    </w:p>
    <w:p w:rsidR="00CB574B" w:rsidRDefault="00F64D54" w:rsidP="00E6104B">
      <w:pPr>
        <w:pStyle w:val="Default"/>
        <w:spacing w:line="360" w:lineRule="auto"/>
        <w:rPr>
          <w:rFonts w:ascii="Verdana" w:hAnsi="Verdana" w:cstheme="minorBidi"/>
          <w:color w:val="auto"/>
        </w:rPr>
      </w:pPr>
      <w:r>
        <w:rPr>
          <w:rFonts w:ascii="Verdana" w:hAnsi="Verdana" w:cstheme="minorBidi"/>
          <w:color w:val="auto"/>
        </w:rPr>
        <w:t>The Haven Lunch included young volunteers from the Challenge national youth organisation</w:t>
      </w:r>
      <w:r w:rsidR="00387D66">
        <w:rPr>
          <w:rFonts w:ascii="Verdana" w:hAnsi="Verdana" w:cstheme="minorBidi"/>
          <w:color w:val="auto"/>
        </w:rPr>
        <w:t xml:space="preserve"> that were ‘mentored’ by the WOW volunteers</w:t>
      </w:r>
      <w:r>
        <w:rPr>
          <w:rFonts w:ascii="Verdana" w:hAnsi="Verdana" w:cstheme="minorBidi"/>
          <w:color w:val="auto"/>
        </w:rPr>
        <w:t>.</w:t>
      </w:r>
    </w:p>
    <w:p w:rsidR="008941DF" w:rsidRDefault="008941DF" w:rsidP="00E6104B">
      <w:pPr>
        <w:pStyle w:val="Default"/>
        <w:spacing w:line="360" w:lineRule="auto"/>
        <w:rPr>
          <w:rFonts w:ascii="Verdana" w:hAnsi="Verdana" w:cstheme="minorBidi"/>
          <w:color w:val="auto"/>
        </w:rPr>
      </w:pPr>
    </w:p>
    <w:p w:rsidR="00CB574B" w:rsidRPr="00CB574B" w:rsidRDefault="00CB574B" w:rsidP="00E6104B">
      <w:pPr>
        <w:pStyle w:val="Default"/>
        <w:spacing w:line="360" w:lineRule="auto"/>
        <w:rPr>
          <w:rFonts w:ascii="Verdana" w:hAnsi="Verdana" w:cstheme="minorBidi"/>
          <w:b/>
          <w:color w:val="auto"/>
        </w:rPr>
      </w:pPr>
      <w:r w:rsidRPr="00CB574B">
        <w:rPr>
          <w:rFonts w:ascii="Verdana" w:hAnsi="Verdana" w:cstheme="minorBidi"/>
          <w:b/>
          <w:color w:val="auto"/>
        </w:rPr>
        <w:t>Comparisons</w:t>
      </w:r>
    </w:p>
    <w:p w:rsidR="00CB574B" w:rsidRDefault="008D6CD0" w:rsidP="00E6104B">
      <w:pPr>
        <w:pStyle w:val="Default"/>
        <w:spacing w:line="360" w:lineRule="auto"/>
        <w:rPr>
          <w:rFonts w:ascii="Verdana" w:hAnsi="Verdana" w:cstheme="minorBidi"/>
          <w:color w:val="auto"/>
        </w:rPr>
      </w:pPr>
      <w:r>
        <w:rPr>
          <w:rFonts w:ascii="Verdana" w:hAnsi="Verdana" w:cstheme="minorBidi"/>
          <w:color w:val="auto"/>
        </w:rPr>
        <w:t>Ideally, the project would be ‘benchmarked’ against a similar or comparable project</w:t>
      </w:r>
      <w:r w:rsidR="00DC3C71">
        <w:rPr>
          <w:rFonts w:ascii="Verdana" w:hAnsi="Verdana" w:cstheme="minorBidi"/>
          <w:color w:val="auto"/>
        </w:rPr>
        <w:t xml:space="preserve">. For Intergenerational work there is a significant body of work that would allow for </w:t>
      </w:r>
      <w:r w:rsidR="00840E74">
        <w:rPr>
          <w:rFonts w:ascii="Verdana" w:hAnsi="Verdana" w:cstheme="minorBidi"/>
          <w:color w:val="auto"/>
        </w:rPr>
        <w:t>a reasonable comparison to be made.</w:t>
      </w:r>
      <w:r w:rsidR="00840E74">
        <w:rPr>
          <w:rStyle w:val="FootnoteReference"/>
          <w:rFonts w:ascii="Verdana" w:hAnsi="Verdana" w:cstheme="minorBidi"/>
          <w:color w:val="auto"/>
        </w:rPr>
        <w:footnoteReference w:id="2"/>
      </w:r>
      <w:r w:rsidR="00840E74">
        <w:rPr>
          <w:rFonts w:ascii="Verdana" w:hAnsi="Verdana" w:cstheme="minorBidi"/>
          <w:color w:val="auto"/>
        </w:rPr>
        <w:t xml:space="preserve"> </w:t>
      </w:r>
    </w:p>
    <w:p w:rsidR="008D6CD0" w:rsidRDefault="008D6CD0" w:rsidP="00E6104B">
      <w:pPr>
        <w:pStyle w:val="Default"/>
        <w:spacing w:line="360" w:lineRule="auto"/>
        <w:rPr>
          <w:rFonts w:ascii="Verdana" w:hAnsi="Verdana" w:cstheme="minorBidi"/>
          <w:color w:val="auto"/>
        </w:rPr>
      </w:pPr>
    </w:p>
    <w:p w:rsidR="00CB574B" w:rsidRPr="00CB574B" w:rsidRDefault="00CB574B" w:rsidP="00E6104B">
      <w:pPr>
        <w:pStyle w:val="Default"/>
        <w:spacing w:line="360" w:lineRule="auto"/>
        <w:rPr>
          <w:rFonts w:ascii="Verdana" w:hAnsi="Verdana" w:cstheme="minorBidi"/>
          <w:b/>
          <w:color w:val="auto"/>
        </w:rPr>
      </w:pPr>
      <w:r w:rsidRPr="00CB574B">
        <w:rPr>
          <w:rFonts w:ascii="Verdana" w:hAnsi="Verdana" w:cstheme="minorBidi"/>
          <w:b/>
          <w:color w:val="auto"/>
        </w:rPr>
        <w:t>An Alternative Approach?</w:t>
      </w:r>
    </w:p>
    <w:p w:rsidR="00CB574B" w:rsidRDefault="00DC3C71" w:rsidP="00E6104B">
      <w:pPr>
        <w:pStyle w:val="Default"/>
        <w:spacing w:line="360" w:lineRule="auto"/>
        <w:rPr>
          <w:rFonts w:ascii="Verdana" w:hAnsi="Verdana" w:cstheme="minorBidi"/>
          <w:color w:val="auto"/>
        </w:rPr>
      </w:pPr>
      <w:r>
        <w:rPr>
          <w:rFonts w:ascii="Verdana" w:hAnsi="Verdana" w:cstheme="minorBidi"/>
          <w:color w:val="auto"/>
        </w:rPr>
        <w:t xml:space="preserve">A ‘pilot’ risk </w:t>
      </w:r>
      <w:r w:rsidR="00CB574B">
        <w:rPr>
          <w:rFonts w:ascii="Verdana" w:hAnsi="Verdana" w:cstheme="minorBidi"/>
          <w:color w:val="auto"/>
        </w:rPr>
        <w:t xml:space="preserve">for the WOW intergenerational project </w:t>
      </w:r>
      <w:r>
        <w:rPr>
          <w:rFonts w:ascii="Verdana" w:hAnsi="Verdana" w:cstheme="minorBidi"/>
          <w:color w:val="auto"/>
        </w:rPr>
        <w:t xml:space="preserve">is that in trying to cover each of the four sheltered housing venues, it might be spreading itself too thinly and limiting its impact; a more focussed and concentrated approach (say at one or possibly two centres) could produce better long term outcomes and may offer </w:t>
      </w:r>
      <w:r w:rsidR="00FE6437">
        <w:rPr>
          <w:rFonts w:ascii="Verdana" w:hAnsi="Verdana" w:cstheme="minorBidi"/>
          <w:color w:val="auto"/>
        </w:rPr>
        <w:t xml:space="preserve">deeper learning lessons that could be transferred to different settings in year two of the programme. </w:t>
      </w:r>
    </w:p>
    <w:p w:rsidR="008D6CD0" w:rsidRPr="00D2688F" w:rsidRDefault="008D6CD0" w:rsidP="00E6104B">
      <w:pPr>
        <w:pStyle w:val="Default"/>
        <w:spacing w:line="360" w:lineRule="auto"/>
        <w:rPr>
          <w:rFonts w:ascii="Verdana" w:hAnsi="Verdana" w:cstheme="minorBidi"/>
          <w:color w:val="auto"/>
        </w:rPr>
      </w:pPr>
    </w:p>
    <w:p w:rsidR="00FE6437" w:rsidRPr="00FE6437" w:rsidRDefault="00FE6437" w:rsidP="00E6104B">
      <w:pPr>
        <w:pStyle w:val="Default"/>
        <w:spacing w:line="360" w:lineRule="auto"/>
        <w:rPr>
          <w:rFonts w:ascii="Verdana" w:hAnsi="Verdana" w:cstheme="minorBidi"/>
          <w:b/>
          <w:color w:val="auto"/>
        </w:rPr>
      </w:pPr>
      <w:r>
        <w:rPr>
          <w:rFonts w:ascii="Verdana" w:hAnsi="Verdana" w:cstheme="minorBidi"/>
          <w:b/>
          <w:color w:val="auto"/>
        </w:rPr>
        <w:t>Learning</w:t>
      </w:r>
    </w:p>
    <w:p w:rsidR="00FE6437" w:rsidRDefault="00FE6437" w:rsidP="00E6104B">
      <w:pPr>
        <w:pStyle w:val="Default"/>
        <w:spacing w:line="360" w:lineRule="auto"/>
        <w:rPr>
          <w:rFonts w:ascii="Verdana" w:hAnsi="Verdana" w:cstheme="minorBidi"/>
          <w:color w:val="auto"/>
        </w:rPr>
      </w:pPr>
      <w:r>
        <w:rPr>
          <w:rFonts w:ascii="Verdana" w:hAnsi="Verdana" w:cstheme="minorBidi"/>
          <w:color w:val="auto"/>
        </w:rPr>
        <w:t>As currently arranged the WOW intergenerational programme does not formally capture information that would allow for a transfer of knowledge or experience gained from the events to other settings or to other events in SW11. This could be address</w:t>
      </w:r>
      <w:r w:rsidR="00840E74">
        <w:rPr>
          <w:rFonts w:ascii="Verdana" w:hAnsi="Verdana" w:cstheme="minorBidi"/>
          <w:color w:val="auto"/>
        </w:rPr>
        <w:t>ed</w:t>
      </w:r>
      <w:r>
        <w:rPr>
          <w:rFonts w:ascii="Verdana" w:hAnsi="Verdana" w:cstheme="minorBidi"/>
          <w:color w:val="auto"/>
        </w:rPr>
        <w:t xml:space="preserve"> through a modest adaptation to the programme (see recommendation 2). </w:t>
      </w:r>
    </w:p>
    <w:p w:rsidR="00FE6437" w:rsidRDefault="00FE6437" w:rsidP="00E6104B">
      <w:pPr>
        <w:pStyle w:val="Default"/>
        <w:spacing w:line="360" w:lineRule="auto"/>
        <w:rPr>
          <w:rFonts w:ascii="Verdana" w:hAnsi="Verdana" w:cstheme="minorBidi"/>
          <w:color w:val="auto"/>
        </w:rPr>
      </w:pPr>
    </w:p>
    <w:p w:rsidR="00E6104B" w:rsidRDefault="00FE6437" w:rsidP="00E6104B">
      <w:pPr>
        <w:pStyle w:val="Default"/>
        <w:spacing w:line="360" w:lineRule="auto"/>
        <w:rPr>
          <w:rFonts w:ascii="Verdana" w:hAnsi="Verdana" w:cstheme="minorBidi"/>
          <w:color w:val="auto"/>
        </w:rPr>
      </w:pPr>
      <w:r>
        <w:rPr>
          <w:rFonts w:ascii="Verdana" w:hAnsi="Verdana" w:cstheme="minorBidi"/>
          <w:color w:val="auto"/>
        </w:rPr>
        <w:lastRenderedPageBreak/>
        <w:t>On the available evidence t</w:t>
      </w:r>
      <w:r w:rsidR="00E6104B" w:rsidRPr="00D2688F">
        <w:rPr>
          <w:rFonts w:ascii="Verdana" w:hAnsi="Verdana" w:cstheme="minorBidi"/>
          <w:color w:val="auto"/>
        </w:rPr>
        <w:t>he</w:t>
      </w:r>
      <w:r w:rsidR="00DC3C71">
        <w:rPr>
          <w:rFonts w:ascii="Verdana" w:hAnsi="Verdana" w:cstheme="minorBidi"/>
          <w:color w:val="auto"/>
        </w:rPr>
        <w:t xml:space="preserve"> SW11 Big Local contribution to the WOW Intergenerational project </w:t>
      </w:r>
      <w:r>
        <w:rPr>
          <w:rFonts w:ascii="Verdana" w:hAnsi="Verdana" w:cstheme="minorBidi"/>
          <w:color w:val="auto"/>
        </w:rPr>
        <w:t>has not been based on realistic costs</w:t>
      </w:r>
      <w:r w:rsidR="00840E74">
        <w:rPr>
          <w:rFonts w:ascii="Verdana" w:hAnsi="Verdana" w:cstheme="minorBidi"/>
          <w:color w:val="auto"/>
        </w:rPr>
        <w:t>; it therefore assumes</w:t>
      </w:r>
      <w:r w:rsidR="00830D4D">
        <w:rPr>
          <w:rFonts w:ascii="Verdana" w:hAnsi="Verdana" w:cstheme="minorBidi"/>
          <w:color w:val="auto"/>
        </w:rPr>
        <w:t xml:space="preserve"> (by inference)</w:t>
      </w:r>
      <w:r w:rsidR="00840E74">
        <w:rPr>
          <w:rFonts w:ascii="Verdana" w:hAnsi="Verdana" w:cstheme="minorBidi"/>
          <w:color w:val="auto"/>
        </w:rPr>
        <w:t xml:space="preserve"> some kind of ‘leverage’ (Big Local funds will attract additional resources in cash or in-kind e.g. volunteering) but this is not spelt out.</w:t>
      </w:r>
      <w:r w:rsidR="00BF73C5">
        <w:rPr>
          <w:rFonts w:ascii="Verdana" w:hAnsi="Verdana" w:cstheme="minorBidi"/>
          <w:color w:val="auto"/>
        </w:rPr>
        <w:t xml:space="preserve"> It is not unusual for ‘pilots’ to be funded on the basis of ‘full costs’, with a leverage requirement built in to subsequent roll outs.</w:t>
      </w:r>
    </w:p>
    <w:p w:rsidR="00FE6437" w:rsidRDefault="00FE6437" w:rsidP="00E6104B">
      <w:pPr>
        <w:pStyle w:val="Default"/>
        <w:spacing w:line="360" w:lineRule="auto"/>
        <w:rPr>
          <w:rFonts w:ascii="Verdana" w:hAnsi="Verdana" w:cstheme="minorBidi"/>
          <w:color w:val="auto"/>
        </w:rPr>
      </w:pPr>
    </w:p>
    <w:p w:rsidR="00CB574B" w:rsidRPr="00CB574B" w:rsidRDefault="00723F94" w:rsidP="00E6104B">
      <w:pPr>
        <w:pStyle w:val="Default"/>
        <w:spacing w:line="360" w:lineRule="auto"/>
        <w:rPr>
          <w:rFonts w:ascii="Verdana" w:hAnsi="Verdana" w:cstheme="minorBidi"/>
          <w:b/>
          <w:color w:val="auto"/>
        </w:rPr>
      </w:pPr>
      <w:r>
        <w:rPr>
          <w:rFonts w:ascii="Verdana" w:hAnsi="Verdana" w:cstheme="minorBidi"/>
          <w:b/>
          <w:color w:val="auto"/>
        </w:rPr>
        <w:t>Conclusion</w:t>
      </w:r>
    </w:p>
    <w:p w:rsidR="008941DF" w:rsidRPr="00CB574B" w:rsidRDefault="00CB574B" w:rsidP="00CB574B">
      <w:pPr>
        <w:tabs>
          <w:tab w:val="left" w:pos="9323"/>
          <w:tab w:val="left" w:pos="11855"/>
        </w:tabs>
        <w:spacing w:line="360" w:lineRule="auto"/>
        <w:rPr>
          <w:rFonts w:ascii="Verdana" w:hAnsi="Verdana"/>
          <w:sz w:val="24"/>
          <w:szCs w:val="24"/>
        </w:rPr>
      </w:pPr>
      <w:r w:rsidRPr="00D2688F">
        <w:rPr>
          <w:rFonts w:ascii="Verdana" w:hAnsi="Verdana"/>
          <w:sz w:val="24"/>
          <w:szCs w:val="24"/>
        </w:rPr>
        <w:t>The</w:t>
      </w:r>
      <w:r>
        <w:rPr>
          <w:rFonts w:ascii="Verdana" w:hAnsi="Verdana"/>
          <w:sz w:val="24"/>
          <w:szCs w:val="24"/>
        </w:rPr>
        <w:t xml:space="preserve"> WOW Intergenerational project appears to show exceptional value for money and has laid the foundations for a potentially sustainable improvement in ‘growing a sense of inclusion’ amongst some older people in SW11 and also ‘growing citizenship amongst some younger people.</w:t>
      </w:r>
    </w:p>
    <w:p w:rsidR="00E6104B" w:rsidRDefault="00E6104B" w:rsidP="00E6104B">
      <w:pPr>
        <w:pStyle w:val="Default"/>
        <w:spacing w:line="360" w:lineRule="auto"/>
        <w:rPr>
          <w:rFonts w:ascii="Verdana" w:hAnsi="Verdana" w:cstheme="minorBidi"/>
          <w:b/>
          <w:color w:val="auto"/>
        </w:rPr>
      </w:pPr>
      <w:r w:rsidRPr="00D2688F">
        <w:rPr>
          <w:rFonts w:ascii="Verdana" w:hAnsi="Verdana" w:cstheme="minorBidi"/>
          <w:b/>
          <w:color w:val="auto"/>
        </w:rPr>
        <w:t>Recommendations</w:t>
      </w:r>
    </w:p>
    <w:p w:rsidR="00CB574B" w:rsidRDefault="00CB574B" w:rsidP="00E6104B">
      <w:pPr>
        <w:pStyle w:val="Default"/>
        <w:spacing w:line="360" w:lineRule="auto"/>
        <w:rPr>
          <w:rFonts w:ascii="Verdana" w:hAnsi="Verdana" w:cstheme="minorBidi"/>
          <w:b/>
          <w:color w:val="auto"/>
        </w:rPr>
      </w:pPr>
    </w:p>
    <w:p w:rsidR="00CB574B" w:rsidRDefault="008941DF" w:rsidP="008941DF">
      <w:pPr>
        <w:pStyle w:val="Default"/>
        <w:spacing w:line="360" w:lineRule="auto"/>
        <w:ind w:left="720" w:hanging="720"/>
        <w:rPr>
          <w:rFonts w:ascii="Verdana" w:hAnsi="Verdana" w:cstheme="minorBidi"/>
          <w:color w:val="auto"/>
        </w:rPr>
      </w:pPr>
      <w:r>
        <w:rPr>
          <w:rFonts w:ascii="Verdana" w:hAnsi="Verdana" w:cstheme="minorBidi"/>
          <w:color w:val="auto"/>
        </w:rPr>
        <w:t>1.</w:t>
      </w:r>
      <w:r>
        <w:rPr>
          <w:rFonts w:ascii="Verdana" w:hAnsi="Verdana" w:cstheme="minorBidi"/>
          <w:color w:val="auto"/>
        </w:rPr>
        <w:tab/>
      </w:r>
      <w:r w:rsidR="00CB574B">
        <w:rPr>
          <w:rFonts w:ascii="Verdana" w:hAnsi="Verdana" w:cstheme="minorBidi"/>
          <w:color w:val="auto"/>
        </w:rPr>
        <w:t>The PEC should endorse WOW’s work to date and reaffirm its commitment to supporting the project up to March 2016</w:t>
      </w:r>
      <w:r w:rsidR="00AD4539">
        <w:rPr>
          <w:rFonts w:ascii="Verdana" w:hAnsi="Verdana" w:cstheme="minorBidi"/>
          <w:color w:val="auto"/>
        </w:rPr>
        <w:t xml:space="preserve"> </w:t>
      </w:r>
      <w:r>
        <w:rPr>
          <w:rFonts w:ascii="Verdana" w:hAnsi="Verdana" w:cstheme="minorBidi"/>
          <w:color w:val="auto"/>
        </w:rPr>
        <w:t xml:space="preserve">(first year) </w:t>
      </w:r>
      <w:r w:rsidR="00AD4539">
        <w:rPr>
          <w:rFonts w:ascii="Verdana" w:hAnsi="Verdana" w:cstheme="minorBidi"/>
          <w:color w:val="auto"/>
        </w:rPr>
        <w:t xml:space="preserve">and </w:t>
      </w:r>
      <w:r>
        <w:rPr>
          <w:rFonts w:ascii="Verdana" w:hAnsi="Verdana" w:cstheme="minorBidi"/>
          <w:color w:val="auto"/>
        </w:rPr>
        <w:t>March 2017 (second year)</w:t>
      </w:r>
      <w:r w:rsidR="00AD4539">
        <w:rPr>
          <w:rFonts w:ascii="Verdana" w:hAnsi="Verdana" w:cstheme="minorBidi"/>
          <w:color w:val="auto"/>
        </w:rPr>
        <w:t>.</w:t>
      </w:r>
    </w:p>
    <w:p w:rsidR="008941DF" w:rsidRDefault="008941DF" w:rsidP="00E6104B">
      <w:pPr>
        <w:pStyle w:val="Default"/>
        <w:spacing w:line="360" w:lineRule="auto"/>
        <w:rPr>
          <w:rFonts w:ascii="Verdana" w:hAnsi="Verdana" w:cstheme="minorBidi"/>
          <w:color w:val="auto"/>
        </w:rPr>
      </w:pPr>
    </w:p>
    <w:p w:rsidR="00AD4539" w:rsidRDefault="008941DF" w:rsidP="008941DF">
      <w:pPr>
        <w:pStyle w:val="Default"/>
        <w:spacing w:line="360" w:lineRule="auto"/>
        <w:ind w:left="720" w:hanging="720"/>
        <w:rPr>
          <w:rFonts w:ascii="Verdana" w:hAnsi="Verdana" w:cstheme="minorBidi"/>
          <w:color w:val="auto"/>
        </w:rPr>
      </w:pPr>
      <w:r>
        <w:rPr>
          <w:rFonts w:ascii="Verdana" w:hAnsi="Verdana" w:cstheme="minorBidi"/>
          <w:color w:val="auto"/>
        </w:rPr>
        <w:t xml:space="preserve">2. </w:t>
      </w:r>
      <w:r>
        <w:rPr>
          <w:rFonts w:ascii="Verdana" w:hAnsi="Verdana" w:cstheme="minorBidi"/>
          <w:color w:val="auto"/>
        </w:rPr>
        <w:tab/>
      </w:r>
      <w:r w:rsidR="00AD4539">
        <w:rPr>
          <w:rFonts w:ascii="Verdana" w:hAnsi="Verdana" w:cstheme="minorBidi"/>
          <w:color w:val="auto"/>
        </w:rPr>
        <w:t>WOW should be encouraged to introduce more systematic ways of gathering information that could support further evaluations including one or a combination of the following:</w:t>
      </w:r>
    </w:p>
    <w:p w:rsidR="008941DF" w:rsidRDefault="008941DF" w:rsidP="008941DF">
      <w:pPr>
        <w:pStyle w:val="Default"/>
        <w:spacing w:line="360" w:lineRule="auto"/>
        <w:ind w:left="720" w:hanging="720"/>
        <w:rPr>
          <w:rFonts w:ascii="Verdana" w:hAnsi="Verdana" w:cstheme="minorBidi"/>
          <w:color w:val="auto"/>
        </w:rPr>
      </w:pPr>
    </w:p>
    <w:p w:rsidR="00AD4539" w:rsidRDefault="00AD4539" w:rsidP="008941DF">
      <w:pPr>
        <w:pStyle w:val="Default"/>
        <w:numPr>
          <w:ilvl w:val="0"/>
          <w:numId w:val="10"/>
        </w:numPr>
        <w:spacing w:line="360" w:lineRule="auto"/>
        <w:ind w:left="1134" w:firstLine="0"/>
        <w:rPr>
          <w:rFonts w:ascii="Verdana" w:hAnsi="Verdana" w:cstheme="minorBidi"/>
          <w:color w:val="auto"/>
        </w:rPr>
      </w:pPr>
      <w:r>
        <w:rPr>
          <w:rFonts w:ascii="Verdana" w:hAnsi="Verdana" w:cstheme="minorBidi"/>
          <w:color w:val="auto"/>
        </w:rPr>
        <w:t>Brief feedback forms for older people and volunteers</w:t>
      </w:r>
    </w:p>
    <w:p w:rsidR="00AD4539" w:rsidRDefault="00AD4539" w:rsidP="008941DF">
      <w:pPr>
        <w:pStyle w:val="Default"/>
        <w:numPr>
          <w:ilvl w:val="0"/>
          <w:numId w:val="10"/>
        </w:numPr>
        <w:spacing w:line="360" w:lineRule="auto"/>
        <w:ind w:left="1134" w:firstLine="0"/>
        <w:rPr>
          <w:rFonts w:ascii="Verdana" w:hAnsi="Verdana" w:cstheme="minorBidi"/>
          <w:color w:val="auto"/>
        </w:rPr>
      </w:pPr>
      <w:r>
        <w:rPr>
          <w:rFonts w:ascii="Verdana" w:hAnsi="Verdana" w:cstheme="minorBidi"/>
          <w:color w:val="auto"/>
        </w:rPr>
        <w:t>Recorded interviews with older people and volunteers</w:t>
      </w:r>
    </w:p>
    <w:p w:rsidR="00DC3C71" w:rsidRDefault="00DC3C71" w:rsidP="00DC3C71">
      <w:pPr>
        <w:pStyle w:val="Default"/>
        <w:numPr>
          <w:ilvl w:val="1"/>
          <w:numId w:val="10"/>
        </w:numPr>
        <w:spacing w:line="360" w:lineRule="auto"/>
        <w:rPr>
          <w:rFonts w:ascii="Verdana" w:hAnsi="Verdana" w:cstheme="minorBidi"/>
          <w:color w:val="auto"/>
        </w:rPr>
      </w:pPr>
      <w:r>
        <w:rPr>
          <w:rFonts w:ascii="Verdana" w:hAnsi="Verdana" w:cstheme="minorBidi"/>
          <w:color w:val="auto"/>
        </w:rPr>
        <w:t>A follow up review to see if any older and/or younger people continue their involvement and/or develop new areas of interest as a result of the intergenerational event.</w:t>
      </w:r>
    </w:p>
    <w:p w:rsidR="00AD4539" w:rsidRDefault="00AD4539" w:rsidP="008941DF">
      <w:pPr>
        <w:pStyle w:val="Default"/>
        <w:spacing w:line="360" w:lineRule="auto"/>
        <w:ind w:left="720"/>
        <w:rPr>
          <w:rFonts w:ascii="Verdana" w:hAnsi="Verdana" w:cstheme="minorBidi"/>
          <w:color w:val="auto"/>
        </w:rPr>
      </w:pPr>
    </w:p>
    <w:p w:rsidR="00CB574B" w:rsidRDefault="008941DF" w:rsidP="00DC3C71">
      <w:pPr>
        <w:pStyle w:val="Default"/>
        <w:spacing w:line="360" w:lineRule="auto"/>
        <w:ind w:left="720" w:hanging="720"/>
        <w:rPr>
          <w:rFonts w:ascii="Verdana" w:hAnsi="Verdana" w:cstheme="minorBidi"/>
          <w:color w:val="auto"/>
        </w:rPr>
      </w:pPr>
      <w:r>
        <w:rPr>
          <w:rFonts w:ascii="Verdana" w:hAnsi="Verdana" w:cstheme="minorBidi"/>
          <w:color w:val="auto"/>
        </w:rPr>
        <w:lastRenderedPageBreak/>
        <w:t xml:space="preserve">3. </w:t>
      </w:r>
      <w:r>
        <w:rPr>
          <w:rFonts w:ascii="Verdana" w:hAnsi="Verdana" w:cstheme="minorBidi"/>
          <w:color w:val="auto"/>
        </w:rPr>
        <w:tab/>
        <w:t>The</w:t>
      </w:r>
      <w:r w:rsidR="00DC3C71">
        <w:rPr>
          <w:rFonts w:ascii="Verdana" w:hAnsi="Verdana" w:cstheme="minorBidi"/>
          <w:color w:val="auto"/>
        </w:rPr>
        <w:t xml:space="preserve"> PEC should commit to an independent member or associate member participating in a WOW intergenerational event and to provide feedback to inform future evaluations.</w:t>
      </w:r>
    </w:p>
    <w:p w:rsidR="00FE6437" w:rsidRDefault="00FE6437" w:rsidP="00DC3C71">
      <w:pPr>
        <w:pStyle w:val="Default"/>
        <w:spacing w:line="360" w:lineRule="auto"/>
        <w:ind w:left="720" w:hanging="720"/>
        <w:rPr>
          <w:rFonts w:ascii="Verdana" w:hAnsi="Verdana" w:cstheme="minorBidi"/>
          <w:color w:val="auto"/>
        </w:rPr>
      </w:pPr>
    </w:p>
    <w:p w:rsidR="00FE6437" w:rsidRDefault="00FE6437" w:rsidP="00DC3C71">
      <w:pPr>
        <w:pStyle w:val="Default"/>
        <w:spacing w:line="360" w:lineRule="auto"/>
        <w:ind w:left="720" w:hanging="720"/>
        <w:rPr>
          <w:rFonts w:ascii="Verdana" w:hAnsi="Verdana" w:cstheme="minorBidi"/>
          <w:color w:val="auto"/>
        </w:rPr>
      </w:pPr>
      <w:r>
        <w:rPr>
          <w:rFonts w:ascii="Verdana" w:hAnsi="Verdana" w:cstheme="minorBidi"/>
          <w:color w:val="auto"/>
        </w:rPr>
        <w:t>4.</w:t>
      </w:r>
      <w:r>
        <w:rPr>
          <w:rFonts w:ascii="Verdana" w:hAnsi="Verdana" w:cstheme="minorBidi"/>
          <w:color w:val="auto"/>
        </w:rPr>
        <w:tab/>
        <w:t>If possible future evaluations should include an analysis which takes into account a comparable intergenerational project.</w:t>
      </w:r>
    </w:p>
    <w:p w:rsidR="00840E74" w:rsidRDefault="00840E74" w:rsidP="00DC3C71">
      <w:pPr>
        <w:pStyle w:val="Default"/>
        <w:spacing w:line="360" w:lineRule="auto"/>
        <w:ind w:left="720" w:hanging="720"/>
        <w:rPr>
          <w:rFonts w:ascii="Verdana" w:hAnsi="Verdana" w:cstheme="minorBidi"/>
          <w:color w:val="auto"/>
        </w:rPr>
      </w:pPr>
    </w:p>
    <w:p w:rsidR="00840E74" w:rsidRDefault="00840E74" w:rsidP="00DC3C71">
      <w:pPr>
        <w:pStyle w:val="Default"/>
        <w:spacing w:line="360" w:lineRule="auto"/>
        <w:ind w:left="720" w:hanging="720"/>
        <w:rPr>
          <w:rFonts w:ascii="Verdana" w:hAnsi="Verdana" w:cstheme="minorBidi"/>
          <w:color w:val="auto"/>
        </w:rPr>
      </w:pPr>
      <w:r>
        <w:rPr>
          <w:rFonts w:ascii="Verdana" w:hAnsi="Verdana" w:cstheme="minorBidi"/>
          <w:color w:val="auto"/>
        </w:rPr>
        <w:t>5.</w:t>
      </w:r>
      <w:r>
        <w:rPr>
          <w:rFonts w:ascii="Verdana" w:hAnsi="Verdana" w:cstheme="minorBidi"/>
          <w:color w:val="auto"/>
        </w:rPr>
        <w:tab/>
        <w:t>The PEC should look again at the criteria used to support projects with Big Local funding; if leverage is a requirement this should be based on a consistent methodology.</w:t>
      </w:r>
    </w:p>
    <w:p w:rsidR="00FE6437" w:rsidRDefault="00FE6437" w:rsidP="00DC3C71">
      <w:pPr>
        <w:pStyle w:val="Default"/>
        <w:spacing w:line="360" w:lineRule="auto"/>
        <w:ind w:left="720" w:hanging="720"/>
        <w:rPr>
          <w:rFonts w:ascii="Verdana" w:hAnsi="Verdana" w:cstheme="minorBidi"/>
          <w:color w:val="auto"/>
        </w:rPr>
      </w:pPr>
    </w:p>
    <w:p w:rsidR="00DC3C71" w:rsidRDefault="00DC3C71" w:rsidP="00DC3C71">
      <w:pPr>
        <w:pStyle w:val="Default"/>
        <w:spacing w:line="360" w:lineRule="auto"/>
        <w:ind w:left="720" w:hanging="720"/>
        <w:rPr>
          <w:rFonts w:ascii="Verdana" w:hAnsi="Verdana" w:cstheme="minorBidi"/>
          <w:color w:val="auto"/>
        </w:rPr>
      </w:pPr>
    </w:p>
    <w:p w:rsidR="00DC3C71" w:rsidRDefault="00DC3C71">
      <w:pPr>
        <w:rPr>
          <w:rFonts w:ascii="Verdana" w:hAnsi="Verdana"/>
          <w:b/>
          <w:sz w:val="24"/>
          <w:szCs w:val="24"/>
        </w:rPr>
      </w:pPr>
      <w:r>
        <w:rPr>
          <w:rFonts w:ascii="Verdana" w:hAnsi="Verdana"/>
          <w:b/>
          <w:sz w:val="24"/>
          <w:szCs w:val="24"/>
        </w:rPr>
        <w:br w:type="page"/>
      </w:r>
    </w:p>
    <w:p w:rsidR="00F92D74" w:rsidRPr="00D2688F" w:rsidRDefault="00F92D74" w:rsidP="00F92D74">
      <w:pPr>
        <w:rPr>
          <w:rFonts w:ascii="Verdana" w:hAnsi="Verdana"/>
          <w:b/>
          <w:sz w:val="24"/>
          <w:szCs w:val="24"/>
        </w:rPr>
      </w:pPr>
      <w:r w:rsidRPr="00D2688F">
        <w:rPr>
          <w:rFonts w:ascii="Verdana" w:hAnsi="Verdana"/>
          <w:b/>
          <w:sz w:val="24"/>
          <w:szCs w:val="24"/>
        </w:rPr>
        <w:lastRenderedPageBreak/>
        <w:t>Appendix 1: Intergenerational Project Profile</w:t>
      </w:r>
    </w:p>
    <w:p w:rsidR="00F92D74" w:rsidRPr="00D2688F" w:rsidRDefault="00F92D74" w:rsidP="00F92D74">
      <w:pPr>
        <w:rPr>
          <w:rFonts w:ascii="Verdana" w:hAnsi="Verdana"/>
          <w:sz w:val="24"/>
          <w:szCs w:val="24"/>
        </w:rPr>
      </w:pPr>
      <w:r w:rsidRPr="00D2688F">
        <w:rPr>
          <w:rFonts w:ascii="Verdana" w:hAnsi="Verdana"/>
          <w:b/>
          <w:sz w:val="24"/>
          <w:szCs w:val="24"/>
        </w:rPr>
        <w:t>Strategic Theme</w:t>
      </w:r>
      <w:r w:rsidRPr="00D2688F">
        <w:rPr>
          <w:rFonts w:ascii="Verdana" w:hAnsi="Verdana"/>
          <w:sz w:val="24"/>
          <w:szCs w:val="24"/>
        </w:rPr>
        <w:t>: Community and Belonging</w:t>
      </w:r>
    </w:p>
    <w:p w:rsidR="00F92D74" w:rsidRPr="00D2688F" w:rsidRDefault="00F92D74" w:rsidP="00F92D74">
      <w:pPr>
        <w:rPr>
          <w:rFonts w:ascii="Verdana" w:hAnsi="Verdana"/>
          <w:sz w:val="24"/>
          <w:szCs w:val="24"/>
        </w:rPr>
      </w:pPr>
      <w:r w:rsidRPr="00D2688F">
        <w:rPr>
          <w:rFonts w:ascii="Verdana" w:hAnsi="Verdana"/>
          <w:sz w:val="24"/>
          <w:szCs w:val="24"/>
        </w:rPr>
        <w:t>Start Date Sat 27</w:t>
      </w:r>
      <w:r w:rsidRPr="00D2688F">
        <w:rPr>
          <w:rFonts w:ascii="Verdana" w:hAnsi="Verdana"/>
          <w:sz w:val="24"/>
          <w:szCs w:val="24"/>
          <w:vertAlign w:val="superscript"/>
        </w:rPr>
        <w:t>th</w:t>
      </w:r>
      <w:r w:rsidRPr="00D2688F">
        <w:rPr>
          <w:rFonts w:ascii="Verdana" w:hAnsi="Verdana"/>
          <w:sz w:val="24"/>
          <w:szCs w:val="24"/>
        </w:rPr>
        <w:t xml:space="preserve"> June 2015 – End date 31</w:t>
      </w:r>
      <w:r w:rsidRPr="00D2688F">
        <w:rPr>
          <w:rFonts w:ascii="Verdana" w:hAnsi="Verdana"/>
          <w:sz w:val="24"/>
          <w:szCs w:val="24"/>
          <w:vertAlign w:val="superscript"/>
        </w:rPr>
        <w:t>st</w:t>
      </w:r>
      <w:r w:rsidRPr="00D2688F">
        <w:rPr>
          <w:rFonts w:ascii="Verdana" w:hAnsi="Verdana"/>
          <w:sz w:val="24"/>
          <w:szCs w:val="24"/>
        </w:rPr>
        <w:t xml:space="preserve"> March 2016</w:t>
      </w:r>
    </w:p>
    <w:p w:rsidR="00F92D74" w:rsidRPr="00D2688F" w:rsidRDefault="00F92D74" w:rsidP="00F92D74">
      <w:pPr>
        <w:rPr>
          <w:rFonts w:ascii="Verdana" w:hAnsi="Verdana"/>
          <w:b/>
          <w:sz w:val="24"/>
          <w:szCs w:val="24"/>
        </w:rPr>
      </w:pPr>
      <w:r w:rsidRPr="00D2688F">
        <w:rPr>
          <w:rFonts w:ascii="Verdana" w:hAnsi="Verdana"/>
          <w:b/>
          <w:sz w:val="24"/>
          <w:szCs w:val="24"/>
        </w:rPr>
        <w:t>Venues</w:t>
      </w:r>
    </w:p>
    <w:p w:rsidR="00F92D74" w:rsidRPr="00D2688F" w:rsidRDefault="00F92D74" w:rsidP="00F92D74">
      <w:pPr>
        <w:pStyle w:val="Default"/>
        <w:rPr>
          <w:rFonts w:ascii="Verdana" w:hAnsi="Verdana"/>
        </w:rPr>
      </w:pPr>
      <w:r w:rsidRPr="00D2688F">
        <w:rPr>
          <w:rFonts w:ascii="Verdana" w:hAnsi="Verdana"/>
        </w:rPr>
        <w:t>Haven Lodge, Holmleigh Court, Doris Emmerton, John Kirk House</w:t>
      </w:r>
    </w:p>
    <w:p w:rsidR="00F92D74" w:rsidRPr="00D2688F" w:rsidRDefault="00F92D74" w:rsidP="00F92D74">
      <w:pPr>
        <w:rPr>
          <w:rFonts w:ascii="Verdana" w:hAnsi="Verdana"/>
          <w:sz w:val="24"/>
          <w:szCs w:val="24"/>
        </w:rPr>
      </w:pPr>
    </w:p>
    <w:p w:rsidR="00F92D74" w:rsidRPr="00D2688F" w:rsidRDefault="00F92D74" w:rsidP="00F92D74">
      <w:pPr>
        <w:rPr>
          <w:rFonts w:ascii="Verdana" w:hAnsi="Verdana"/>
          <w:b/>
          <w:sz w:val="24"/>
          <w:szCs w:val="24"/>
        </w:rPr>
      </w:pPr>
      <w:r w:rsidRPr="00D2688F">
        <w:rPr>
          <w:rFonts w:ascii="Verdana" w:hAnsi="Verdana"/>
          <w:b/>
          <w:sz w:val="24"/>
          <w:szCs w:val="24"/>
        </w:rPr>
        <w:t>Planned Outcomes</w:t>
      </w:r>
    </w:p>
    <w:tbl>
      <w:tblPr>
        <w:tblW w:w="0" w:type="auto"/>
        <w:tblInd w:w="-108" w:type="dxa"/>
        <w:tblBorders>
          <w:top w:val="nil"/>
          <w:left w:val="nil"/>
          <w:bottom w:val="nil"/>
          <w:right w:val="nil"/>
        </w:tblBorders>
        <w:tblLayout w:type="fixed"/>
        <w:tblLook w:val="0000"/>
      </w:tblPr>
      <w:tblGrid>
        <w:gridCol w:w="6170"/>
      </w:tblGrid>
      <w:tr w:rsidR="00F92D74" w:rsidRPr="00D2688F" w:rsidTr="006B1BF3">
        <w:trPr>
          <w:trHeight w:val="712"/>
        </w:trPr>
        <w:tc>
          <w:tcPr>
            <w:tcW w:w="6170" w:type="dxa"/>
          </w:tcPr>
          <w:p w:rsidR="00F92D74" w:rsidRPr="00D2688F" w:rsidRDefault="00F92D74" w:rsidP="006B1BF3">
            <w:pPr>
              <w:pStyle w:val="ListParagraph"/>
              <w:numPr>
                <w:ilvl w:val="0"/>
                <w:numId w:val="7"/>
              </w:numPr>
              <w:spacing w:before="240" w:line="360" w:lineRule="auto"/>
              <w:rPr>
                <w:rFonts w:ascii="Verdana" w:hAnsi="Verdana"/>
                <w:sz w:val="24"/>
                <w:szCs w:val="24"/>
              </w:rPr>
            </w:pPr>
            <w:r w:rsidRPr="00D2688F">
              <w:rPr>
                <w:rFonts w:ascii="Verdana" w:hAnsi="Verdana"/>
                <w:sz w:val="24"/>
                <w:szCs w:val="24"/>
              </w:rPr>
              <w:t>An increase in intergenerational</w:t>
            </w:r>
            <w:r w:rsidR="006B1BF3">
              <w:rPr>
                <w:rFonts w:ascii="Verdana" w:hAnsi="Verdana"/>
                <w:sz w:val="24"/>
                <w:szCs w:val="24"/>
              </w:rPr>
              <w:t xml:space="preserve"> </w:t>
            </w:r>
            <w:r w:rsidRPr="00D2688F">
              <w:rPr>
                <w:rFonts w:ascii="Verdana" w:hAnsi="Verdana"/>
                <w:sz w:val="24"/>
                <w:szCs w:val="24"/>
              </w:rPr>
              <w:t xml:space="preserve"> work </w:t>
            </w:r>
          </w:p>
          <w:p w:rsidR="00F92D74" w:rsidRPr="00D2688F" w:rsidRDefault="00F92D74" w:rsidP="006B1BF3">
            <w:pPr>
              <w:pStyle w:val="ListParagraph"/>
              <w:numPr>
                <w:ilvl w:val="0"/>
                <w:numId w:val="7"/>
              </w:numPr>
              <w:spacing w:before="240" w:line="360" w:lineRule="auto"/>
              <w:rPr>
                <w:rFonts w:ascii="Verdana" w:hAnsi="Verdana"/>
                <w:sz w:val="24"/>
                <w:szCs w:val="24"/>
              </w:rPr>
            </w:pPr>
            <w:r w:rsidRPr="00D2688F">
              <w:rPr>
                <w:rFonts w:ascii="Verdana" w:hAnsi="Verdana"/>
                <w:sz w:val="24"/>
                <w:szCs w:val="24"/>
              </w:rPr>
              <w:t xml:space="preserve">To grow sense of inclusion among elderly </w:t>
            </w:r>
          </w:p>
          <w:p w:rsidR="00F92D74" w:rsidRPr="00D2688F" w:rsidRDefault="00F92D74" w:rsidP="006B1BF3">
            <w:pPr>
              <w:pStyle w:val="ListParagraph"/>
              <w:numPr>
                <w:ilvl w:val="0"/>
                <w:numId w:val="7"/>
              </w:numPr>
              <w:spacing w:before="240" w:line="360" w:lineRule="auto"/>
              <w:rPr>
                <w:rFonts w:ascii="Verdana" w:hAnsi="Verdana"/>
                <w:sz w:val="24"/>
                <w:szCs w:val="24"/>
              </w:rPr>
            </w:pPr>
            <w:r w:rsidRPr="00D2688F">
              <w:rPr>
                <w:rFonts w:ascii="Verdana" w:hAnsi="Verdana"/>
                <w:sz w:val="24"/>
                <w:szCs w:val="24"/>
              </w:rPr>
              <w:t xml:space="preserve">To connect people together </w:t>
            </w:r>
          </w:p>
          <w:p w:rsidR="00F92D74" w:rsidRPr="00D2688F" w:rsidRDefault="00F92D74" w:rsidP="006B1BF3">
            <w:pPr>
              <w:pStyle w:val="ListParagraph"/>
              <w:numPr>
                <w:ilvl w:val="0"/>
                <w:numId w:val="7"/>
              </w:numPr>
              <w:spacing w:before="240" w:line="360" w:lineRule="auto"/>
              <w:rPr>
                <w:rFonts w:ascii="Verdana" w:hAnsi="Verdana"/>
                <w:sz w:val="24"/>
                <w:szCs w:val="24"/>
              </w:rPr>
            </w:pPr>
            <w:r w:rsidRPr="00D2688F">
              <w:rPr>
                <w:rFonts w:ascii="Verdana" w:hAnsi="Verdana"/>
                <w:sz w:val="24"/>
                <w:szCs w:val="24"/>
              </w:rPr>
              <w:t xml:space="preserve">To grow citizenship among young people </w:t>
            </w:r>
          </w:p>
          <w:p w:rsidR="00F92D74" w:rsidRPr="006B1BF3" w:rsidRDefault="00F92D74" w:rsidP="006B1BF3">
            <w:pPr>
              <w:pStyle w:val="ListParagraph"/>
              <w:numPr>
                <w:ilvl w:val="0"/>
                <w:numId w:val="7"/>
              </w:numPr>
              <w:spacing w:before="240" w:line="360" w:lineRule="auto"/>
              <w:rPr>
                <w:rFonts w:ascii="Verdana" w:hAnsi="Verdana"/>
                <w:sz w:val="24"/>
                <w:szCs w:val="24"/>
              </w:rPr>
            </w:pPr>
            <w:r w:rsidRPr="00D2688F">
              <w:rPr>
                <w:rFonts w:ascii="Verdana" w:hAnsi="Verdana"/>
                <w:sz w:val="24"/>
                <w:szCs w:val="24"/>
              </w:rPr>
              <w:t xml:space="preserve">To pilot a scheme for others to learn from </w:t>
            </w:r>
          </w:p>
        </w:tc>
      </w:tr>
    </w:tbl>
    <w:p w:rsidR="00F92D74" w:rsidRPr="00D2688F" w:rsidRDefault="00F92D74" w:rsidP="006B1BF3">
      <w:pPr>
        <w:spacing w:before="240"/>
        <w:rPr>
          <w:rFonts w:ascii="Verdana" w:hAnsi="Verdana"/>
          <w:b/>
          <w:sz w:val="24"/>
          <w:szCs w:val="24"/>
        </w:rPr>
      </w:pPr>
      <w:r w:rsidRPr="00D2688F">
        <w:rPr>
          <w:rFonts w:ascii="Verdana" w:hAnsi="Verdana"/>
          <w:b/>
          <w:sz w:val="24"/>
          <w:szCs w:val="24"/>
        </w:rPr>
        <w:t>How Measured?</w:t>
      </w:r>
    </w:p>
    <w:p w:rsidR="00F92D74" w:rsidRPr="00D2688F" w:rsidRDefault="00F92D74" w:rsidP="006B1BF3">
      <w:pPr>
        <w:pStyle w:val="ListParagraph"/>
        <w:numPr>
          <w:ilvl w:val="0"/>
          <w:numId w:val="5"/>
        </w:numPr>
        <w:spacing w:line="360" w:lineRule="auto"/>
        <w:rPr>
          <w:rFonts w:ascii="Verdana" w:hAnsi="Verdana"/>
          <w:sz w:val="24"/>
          <w:szCs w:val="24"/>
        </w:rPr>
      </w:pPr>
      <w:r w:rsidRPr="00D2688F">
        <w:rPr>
          <w:rFonts w:ascii="Verdana" w:hAnsi="Verdana"/>
          <w:sz w:val="24"/>
          <w:szCs w:val="24"/>
        </w:rPr>
        <w:t>By increase in numbers of events and attendees</w:t>
      </w:r>
    </w:p>
    <w:p w:rsidR="00F92D74" w:rsidRPr="00D2688F" w:rsidRDefault="00F92D74" w:rsidP="006B1BF3">
      <w:pPr>
        <w:pStyle w:val="ListParagraph"/>
        <w:numPr>
          <w:ilvl w:val="0"/>
          <w:numId w:val="5"/>
        </w:numPr>
        <w:spacing w:line="360" w:lineRule="auto"/>
        <w:rPr>
          <w:rFonts w:ascii="Verdana" w:hAnsi="Verdana"/>
          <w:sz w:val="24"/>
          <w:szCs w:val="24"/>
        </w:rPr>
      </w:pPr>
      <w:r w:rsidRPr="00D2688F">
        <w:rPr>
          <w:rFonts w:ascii="Verdana" w:hAnsi="Verdana"/>
          <w:sz w:val="24"/>
          <w:szCs w:val="24"/>
        </w:rPr>
        <w:t>By recording the range of new connections made as a result</w:t>
      </w:r>
    </w:p>
    <w:p w:rsidR="00F92D74" w:rsidRPr="00D2688F" w:rsidRDefault="00F92D74" w:rsidP="006B1BF3">
      <w:pPr>
        <w:pStyle w:val="ListParagraph"/>
        <w:numPr>
          <w:ilvl w:val="0"/>
          <w:numId w:val="5"/>
        </w:numPr>
        <w:spacing w:line="360" w:lineRule="auto"/>
        <w:rPr>
          <w:rFonts w:ascii="Verdana" w:hAnsi="Verdana"/>
          <w:sz w:val="24"/>
          <w:szCs w:val="24"/>
        </w:rPr>
      </w:pPr>
      <w:r w:rsidRPr="00D2688F">
        <w:rPr>
          <w:rFonts w:ascii="Verdana" w:hAnsi="Verdana"/>
          <w:sz w:val="24"/>
          <w:szCs w:val="24"/>
        </w:rPr>
        <w:t>By setting in place continuity after initial funding</w:t>
      </w:r>
    </w:p>
    <w:p w:rsidR="00F92D74" w:rsidRPr="00D2688F" w:rsidRDefault="00F92D74" w:rsidP="00F92D74">
      <w:pPr>
        <w:rPr>
          <w:rFonts w:ascii="Verdana" w:hAnsi="Verdana"/>
          <w:sz w:val="24"/>
          <w:szCs w:val="24"/>
        </w:rPr>
      </w:pPr>
    </w:p>
    <w:p w:rsidR="00F92D74" w:rsidRPr="00D2688F" w:rsidRDefault="00F92D74" w:rsidP="00F92D74">
      <w:pPr>
        <w:rPr>
          <w:rFonts w:ascii="Verdana" w:hAnsi="Verdana"/>
          <w:b/>
          <w:sz w:val="24"/>
          <w:szCs w:val="24"/>
        </w:rPr>
      </w:pPr>
      <w:r w:rsidRPr="00D2688F">
        <w:rPr>
          <w:rFonts w:ascii="Verdana" w:hAnsi="Verdana"/>
          <w:b/>
          <w:sz w:val="24"/>
          <w:szCs w:val="24"/>
        </w:rPr>
        <w:t>Budget</w:t>
      </w:r>
    </w:p>
    <w:tbl>
      <w:tblPr>
        <w:tblW w:w="11789" w:type="dxa"/>
        <w:tblInd w:w="-108" w:type="dxa"/>
        <w:tblBorders>
          <w:top w:val="nil"/>
          <w:left w:val="nil"/>
          <w:bottom w:val="nil"/>
          <w:right w:val="nil"/>
        </w:tblBorders>
        <w:tblCellMar>
          <w:left w:w="0" w:type="dxa"/>
          <w:right w:w="0" w:type="dxa"/>
        </w:tblCellMar>
        <w:tblLook w:val="0000"/>
      </w:tblPr>
      <w:tblGrid>
        <w:gridCol w:w="4219"/>
        <w:gridCol w:w="4678"/>
        <w:gridCol w:w="2532"/>
        <w:gridCol w:w="360"/>
      </w:tblGrid>
      <w:tr w:rsidR="00F92D74" w:rsidRPr="00D2688F" w:rsidTr="00AA7481">
        <w:trPr>
          <w:trHeight w:val="110"/>
        </w:trPr>
        <w:tc>
          <w:tcPr>
            <w:tcW w:w="8897" w:type="dxa"/>
            <w:gridSpan w:val="2"/>
            <w:tcBorders>
              <w:top w:val="nil"/>
              <w:left w:val="nil"/>
              <w:bottom w:val="nil"/>
              <w:right w:val="nil"/>
            </w:tcBorders>
          </w:tcPr>
          <w:tbl>
            <w:tblPr>
              <w:tblStyle w:val="TableGrid"/>
              <w:tblW w:w="5004" w:type="dxa"/>
              <w:tblLook w:val="04A0"/>
            </w:tblPr>
            <w:tblGrid>
              <w:gridCol w:w="3829"/>
              <w:gridCol w:w="1175"/>
            </w:tblGrid>
            <w:tr w:rsidR="00387D66" w:rsidRPr="00D2688F" w:rsidTr="00387D66">
              <w:trPr>
                <w:trHeight w:val="251"/>
              </w:trPr>
              <w:tc>
                <w:tcPr>
                  <w:tcW w:w="3826" w:type="pct"/>
                </w:tcPr>
                <w:p w:rsidR="00387D66" w:rsidRPr="00D2688F" w:rsidRDefault="00387D66" w:rsidP="0093436C">
                  <w:pPr>
                    <w:pStyle w:val="Default"/>
                    <w:rPr>
                      <w:rFonts w:ascii="Verdana" w:hAnsi="Verdana"/>
                      <w:b/>
                    </w:rPr>
                  </w:pPr>
                  <w:r w:rsidRPr="00D2688F">
                    <w:rPr>
                      <w:rFonts w:ascii="Verdana" w:hAnsi="Verdana"/>
                      <w:b/>
                    </w:rPr>
                    <w:t>Item</w:t>
                  </w:r>
                </w:p>
              </w:tc>
              <w:tc>
                <w:tcPr>
                  <w:tcW w:w="1174" w:type="pct"/>
                </w:tcPr>
                <w:p w:rsidR="00387D66" w:rsidRPr="00D2688F" w:rsidRDefault="00387D66" w:rsidP="0093436C">
                  <w:pPr>
                    <w:pStyle w:val="Default"/>
                    <w:rPr>
                      <w:rFonts w:ascii="Verdana" w:hAnsi="Verdana"/>
                      <w:b/>
                    </w:rPr>
                  </w:pPr>
                  <w:r w:rsidRPr="00D2688F">
                    <w:rPr>
                      <w:rFonts w:ascii="Verdana" w:hAnsi="Verdana"/>
                      <w:b/>
                    </w:rPr>
                    <w:t>Budget</w:t>
                  </w:r>
                </w:p>
              </w:tc>
            </w:tr>
            <w:tr w:rsidR="00387D66" w:rsidRPr="00D2688F" w:rsidTr="00387D66">
              <w:trPr>
                <w:trHeight w:val="251"/>
              </w:trPr>
              <w:tc>
                <w:tcPr>
                  <w:tcW w:w="3826" w:type="pct"/>
                </w:tcPr>
                <w:p w:rsidR="00387D66" w:rsidRPr="00D2688F" w:rsidRDefault="00387D66" w:rsidP="0093436C">
                  <w:pPr>
                    <w:pStyle w:val="Default"/>
                    <w:rPr>
                      <w:rFonts w:ascii="Verdana" w:hAnsi="Verdana"/>
                    </w:rPr>
                  </w:pPr>
                  <w:r w:rsidRPr="00D2688F">
                    <w:rPr>
                      <w:rFonts w:ascii="Verdana" w:hAnsi="Verdana"/>
                    </w:rPr>
                    <w:t>Refreshments for coffee mornings £80 x 8</w:t>
                  </w:r>
                </w:p>
              </w:tc>
              <w:tc>
                <w:tcPr>
                  <w:tcW w:w="1174" w:type="pct"/>
                </w:tcPr>
                <w:p w:rsidR="00387D66" w:rsidRPr="00D2688F" w:rsidRDefault="00387D66" w:rsidP="0093436C">
                  <w:pPr>
                    <w:pStyle w:val="Default"/>
                    <w:jc w:val="right"/>
                    <w:rPr>
                      <w:rFonts w:ascii="Verdana" w:hAnsi="Verdana"/>
                    </w:rPr>
                  </w:pPr>
                  <w:r w:rsidRPr="00D2688F">
                    <w:rPr>
                      <w:rFonts w:ascii="Verdana" w:hAnsi="Verdana"/>
                    </w:rPr>
                    <w:t>640</w:t>
                  </w:r>
                </w:p>
              </w:tc>
            </w:tr>
            <w:tr w:rsidR="00387D66" w:rsidRPr="00D2688F" w:rsidTr="00387D66">
              <w:trPr>
                <w:trHeight w:val="251"/>
              </w:trPr>
              <w:tc>
                <w:tcPr>
                  <w:tcW w:w="3826" w:type="pct"/>
                </w:tcPr>
                <w:p w:rsidR="00387D66" w:rsidRPr="00D2688F" w:rsidRDefault="00387D66" w:rsidP="0093436C">
                  <w:pPr>
                    <w:pStyle w:val="Default"/>
                    <w:rPr>
                      <w:rFonts w:ascii="Verdana" w:hAnsi="Verdana"/>
                    </w:rPr>
                  </w:pPr>
                  <w:r w:rsidRPr="00D2688F">
                    <w:rPr>
                      <w:rFonts w:ascii="Verdana" w:hAnsi="Verdana"/>
                    </w:rPr>
                    <w:t>Project Manager £10/h x 5 hr x 12 weeks</w:t>
                  </w:r>
                </w:p>
              </w:tc>
              <w:tc>
                <w:tcPr>
                  <w:tcW w:w="1174" w:type="pct"/>
                </w:tcPr>
                <w:p w:rsidR="00387D66" w:rsidRPr="00D2688F" w:rsidRDefault="00387D66" w:rsidP="0093436C">
                  <w:pPr>
                    <w:pStyle w:val="Default"/>
                    <w:jc w:val="right"/>
                    <w:rPr>
                      <w:rFonts w:ascii="Verdana" w:hAnsi="Verdana"/>
                    </w:rPr>
                  </w:pPr>
                  <w:r w:rsidRPr="00D2688F">
                    <w:rPr>
                      <w:rFonts w:ascii="Verdana" w:hAnsi="Verdana"/>
                    </w:rPr>
                    <w:t>600</w:t>
                  </w:r>
                </w:p>
              </w:tc>
            </w:tr>
            <w:tr w:rsidR="00387D66" w:rsidRPr="00D2688F" w:rsidTr="00387D66">
              <w:trPr>
                <w:trHeight w:val="251"/>
              </w:trPr>
              <w:tc>
                <w:tcPr>
                  <w:tcW w:w="3826" w:type="pct"/>
                </w:tcPr>
                <w:p w:rsidR="00387D66" w:rsidRPr="00D2688F" w:rsidRDefault="00387D66" w:rsidP="0093436C">
                  <w:pPr>
                    <w:pStyle w:val="Default"/>
                    <w:rPr>
                      <w:rFonts w:ascii="Verdana" w:hAnsi="Verdana"/>
                    </w:rPr>
                  </w:pPr>
                  <w:r w:rsidRPr="00D2688F">
                    <w:rPr>
                      <w:rFonts w:ascii="Verdana" w:hAnsi="Verdana"/>
                    </w:rPr>
                    <w:t>Expenses for 5 volunteers: £5 x 12 events= £60 x 5</w:t>
                  </w:r>
                </w:p>
              </w:tc>
              <w:tc>
                <w:tcPr>
                  <w:tcW w:w="1174" w:type="pct"/>
                </w:tcPr>
                <w:p w:rsidR="00387D66" w:rsidRPr="00D2688F" w:rsidRDefault="00387D66" w:rsidP="0093436C">
                  <w:pPr>
                    <w:pStyle w:val="Default"/>
                    <w:jc w:val="right"/>
                    <w:rPr>
                      <w:rFonts w:ascii="Verdana" w:hAnsi="Verdana"/>
                    </w:rPr>
                  </w:pPr>
                  <w:r w:rsidRPr="00D2688F">
                    <w:rPr>
                      <w:rFonts w:ascii="Verdana" w:hAnsi="Verdana"/>
                    </w:rPr>
                    <w:t>300</w:t>
                  </w:r>
                </w:p>
              </w:tc>
            </w:tr>
            <w:tr w:rsidR="00387D66" w:rsidRPr="00D2688F" w:rsidTr="00387D66">
              <w:trPr>
                <w:trHeight w:val="251"/>
              </w:trPr>
              <w:tc>
                <w:tcPr>
                  <w:tcW w:w="3826" w:type="pct"/>
                </w:tcPr>
                <w:p w:rsidR="00387D66" w:rsidRPr="00D2688F" w:rsidRDefault="00387D66" w:rsidP="0093436C">
                  <w:pPr>
                    <w:pStyle w:val="Default"/>
                    <w:rPr>
                      <w:rFonts w:ascii="Verdana" w:hAnsi="Verdana"/>
                    </w:rPr>
                  </w:pPr>
                  <w:r w:rsidRPr="00D2688F">
                    <w:rPr>
                      <w:rFonts w:ascii="Verdana" w:hAnsi="Verdana"/>
                    </w:rPr>
                    <w:t>4 Events Refreshments £150 x 4</w:t>
                  </w:r>
                </w:p>
              </w:tc>
              <w:tc>
                <w:tcPr>
                  <w:tcW w:w="1174" w:type="pct"/>
                </w:tcPr>
                <w:p w:rsidR="00387D66" w:rsidRPr="00D2688F" w:rsidRDefault="00387D66" w:rsidP="0093436C">
                  <w:pPr>
                    <w:pStyle w:val="Default"/>
                    <w:jc w:val="right"/>
                    <w:rPr>
                      <w:rFonts w:ascii="Verdana" w:hAnsi="Verdana"/>
                    </w:rPr>
                  </w:pPr>
                  <w:r w:rsidRPr="00D2688F">
                    <w:rPr>
                      <w:rFonts w:ascii="Verdana" w:hAnsi="Verdana"/>
                    </w:rPr>
                    <w:t>600</w:t>
                  </w:r>
                </w:p>
              </w:tc>
            </w:tr>
            <w:tr w:rsidR="00387D66" w:rsidRPr="00D2688F" w:rsidTr="00387D66">
              <w:trPr>
                <w:trHeight w:val="251"/>
              </w:trPr>
              <w:tc>
                <w:tcPr>
                  <w:tcW w:w="3826" w:type="pct"/>
                </w:tcPr>
                <w:p w:rsidR="00387D66" w:rsidRPr="00D2688F" w:rsidRDefault="00387D66" w:rsidP="0093436C">
                  <w:pPr>
                    <w:pStyle w:val="Default"/>
                    <w:rPr>
                      <w:rFonts w:ascii="Verdana" w:hAnsi="Verdana"/>
                    </w:rPr>
                  </w:pPr>
                  <w:r w:rsidRPr="00D2688F">
                    <w:rPr>
                      <w:rFonts w:ascii="Verdana" w:hAnsi="Verdana"/>
                    </w:rPr>
                    <w:t>Transport for residents &amp; isolated elderly £30 x 12</w:t>
                  </w:r>
                </w:p>
              </w:tc>
              <w:tc>
                <w:tcPr>
                  <w:tcW w:w="1174" w:type="pct"/>
                </w:tcPr>
                <w:p w:rsidR="00387D66" w:rsidRPr="00D2688F" w:rsidRDefault="00387D66" w:rsidP="0093436C">
                  <w:pPr>
                    <w:pStyle w:val="Default"/>
                    <w:jc w:val="right"/>
                    <w:rPr>
                      <w:rFonts w:ascii="Verdana" w:hAnsi="Verdana"/>
                    </w:rPr>
                  </w:pPr>
                  <w:r w:rsidRPr="00D2688F">
                    <w:rPr>
                      <w:rFonts w:ascii="Verdana" w:hAnsi="Verdana"/>
                    </w:rPr>
                    <w:t>360</w:t>
                  </w:r>
                </w:p>
              </w:tc>
            </w:tr>
            <w:tr w:rsidR="00387D66" w:rsidRPr="00D2688F" w:rsidTr="00387D66">
              <w:trPr>
                <w:trHeight w:val="251"/>
              </w:trPr>
              <w:tc>
                <w:tcPr>
                  <w:tcW w:w="3826" w:type="pct"/>
                </w:tcPr>
                <w:p w:rsidR="00387D66" w:rsidRPr="00D2688F" w:rsidRDefault="00387D66" w:rsidP="0093436C">
                  <w:pPr>
                    <w:pStyle w:val="Default"/>
                    <w:rPr>
                      <w:rFonts w:ascii="Verdana" w:hAnsi="Verdana"/>
                    </w:rPr>
                  </w:pPr>
                  <w:r w:rsidRPr="00D2688F">
                    <w:rPr>
                      <w:rFonts w:ascii="Verdana" w:hAnsi="Verdana"/>
                    </w:rPr>
                    <w:t>Total Year 1 costs</w:t>
                  </w:r>
                </w:p>
              </w:tc>
              <w:tc>
                <w:tcPr>
                  <w:tcW w:w="1174" w:type="pct"/>
                </w:tcPr>
                <w:p w:rsidR="00387D66" w:rsidRPr="00D2688F" w:rsidRDefault="00387D66" w:rsidP="0093436C">
                  <w:pPr>
                    <w:pStyle w:val="Default"/>
                    <w:jc w:val="right"/>
                    <w:rPr>
                      <w:rFonts w:ascii="Verdana" w:hAnsi="Verdana"/>
                    </w:rPr>
                  </w:pPr>
                  <w:r w:rsidRPr="00D2688F">
                    <w:rPr>
                      <w:rFonts w:ascii="Verdana" w:hAnsi="Verdana"/>
                    </w:rPr>
                    <w:t>£2,500</w:t>
                  </w:r>
                </w:p>
              </w:tc>
            </w:tr>
          </w:tbl>
          <w:p w:rsidR="00F92D74" w:rsidRPr="00D2688F" w:rsidRDefault="00F92D74" w:rsidP="0093436C">
            <w:pPr>
              <w:pStyle w:val="Default"/>
              <w:rPr>
                <w:rFonts w:ascii="Verdana" w:hAnsi="Verdana"/>
              </w:rPr>
            </w:pPr>
          </w:p>
        </w:tc>
        <w:tc>
          <w:tcPr>
            <w:tcW w:w="2532" w:type="dxa"/>
            <w:tcBorders>
              <w:top w:val="nil"/>
              <w:left w:val="nil"/>
              <w:bottom w:val="nil"/>
              <w:right w:val="nil"/>
            </w:tcBorders>
          </w:tcPr>
          <w:p w:rsidR="00F92D74" w:rsidRPr="00D2688F" w:rsidRDefault="00F92D74" w:rsidP="0093436C">
            <w:pPr>
              <w:pStyle w:val="Default"/>
              <w:rPr>
                <w:rFonts w:ascii="Verdana" w:hAnsi="Verdana"/>
              </w:rPr>
            </w:pPr>
            <w:r w:rsidRPr="00D2688F">
              <w:rPr>
                <w:rFonts w:ascii="Verdana" w:hAnsi="Verdana"/>
              </w:rPr>
              <w:t xml:space="preserve"> </w:t>
            </w:r>
          </w:p>
        </w:tc>
        <w:tc>
          <w:tcPr>
            <w:tcW w:w="360" w:type="dxa"/>
          </w:tcPr>
          <w:p w:rsidR="00F92D74" w:rsidRPr="00D2688F" w:rsidRDefault="00F92D74" w:rsidP="0093436C">
            <w:pPr>
              <w:rPr>
                <w:rFonts w:ascii="Verdana" w:hAnsi="Verdana"/>
                <w:sz w:val="24"/>
                <w:szCs w:val="24"/>
              </w:rPr>
            </w:pPr>
            <w:r w:rsidRPr="00D2688F">
              <w:rPr>
                <w:rFonts w:ascii="Verdana" w:hAnsi="Verdana"/>
                <w:sz w:val="24"/>
                <w:szCs w:val="24"/>
              </w:rPr>
              <w:t xml:space="preserve"> </w:t>
            </w:r>
          </w:p>
        </w:tc>
      </w:tr>
      <w:tr w:rsidR="00F92D74" w:rsidRPr="00D2688F" w:rsidTr="00AA7481">
        <w:trPr>
          <w:trHeight w:val="244"/>
        </w:trPr>
        <w:tc>
          <w:tcPr>
            <w:tcW w:w="8897" w:type="dxa"/>
            <w:gridSpan w:val="2"/>
            <w:tcBorders>
              <w:top w:val="nil"/>
              <w:left w:val="nil"/>
              <w:bottom w:val="nil"/>
              <w:right w:val="nil"/>
            </w:tcBorders>
          </w:tcPr>
          <w:p w:rsidR="00F92D74" w:rsidRPr="00D2688F" w:rsidRDefault="00F92D74" w:rsidP="0093436C">
            <w:pPr>
              <w:pStyle w:val="Default"/>
              <w:rPr>
                <w:rFonts w:ascii="Verdana" w:hAnsi="Verdana"/>
              </w:rPr>
            </w:pPr>
          </w:p>
          <w:p w:rsidR="00D2688F" w:rsidRDefault="00D2688F" w:rsidP="0093436C">
            <w:pPr>
              <w:pStyle w:val="Default"/>
              <w:rPr>
                <w:rFonts w:ascii="Verdana" w:hAnsi="Verdana"/>
                <w:b/>
              </w:rPr>
            </w:pPr>
          </w:p>
          <w:p w:rsidR="00D2688F" w:rsidRDefault="00D2688F" w:rsidP="0093436C">
            <w:pPr>
              <w:pStyle w:val="Default"/>
              <w:rPr>
                <w:rFonts w:ascii="Verdana" w:hAnsi="Verdana"/>
                <w:b/>
              </w:rPr>
            </w:pPr>
          </w:p>
          <w:p w:rsidR="00D2688F" w:rsidRDefault="00D2688F" w:rsidP="0093436C">
            <w:pPr>
              <w:pStyle w:val="Default"/>
              <w:rPr>
                <w:rFonts w:ascii="Verdana" w:hAnsi="Verdana"/>
                <w:b/>
              </w:rPr>
            </w:pPr>
          </w:p>
          <w:p w:rsidR="00F70CD8" w:rsidRDefault="00F70CD8" w:rsidP="0093436C">
            <w:pPr>
              <w:pStyle w:val="Default"/>
              <w:rPr>
                <w:rFonts w:ascii="Verdana" w:hAnsi="Verdana"/>
                <w:b/>
              </w:rPr>
            </w:pPr>
          </w:p>
          <w:p w:rsidR="00F92D74" w:rsidRPr="00D2688F" w:rsidRDefault="00F92D74" w:rsidP="0093436C">
            <w:pPr>
              <w:pStyle w:val="Default"/>
              <w:rPr>
                <w:rFonts w:ascii="Verdana" w:hAnsi="Verdana"/>
                <w:b/>
              </w:rPr>
            </w:pPr>
            <w:r w:rsidRPr="00D2688F">
              <w:rPr>
                <w:rFonts w:ascii="Verdana" w:hAnsi="Verdana"/>
                <w:b/>
              </w:rPr>
              <w:lastRenderedPageBreak/>
              <w:t>Programme</w:t>
            </w:r>
          </w:p>
        </w:tc>
        <w:tc>
          <w:tcPr>
            <w:tcW w:w="2532" w:type="dxa"/>
            <w:tcBorders>
              <w:top w:val="nil"/>
              <w:left w:val="nil"/>
              <w:bottom w:val="nil"/>
              <w:right w:val="nil"/>
            </w:tcBorders>
          </w:tcPr>
          <w:p w:rsidR="00F92D74" w:rsidRPr="00D2688F" w:rsidRDefault="00F92D74" w:rsidP="0093436C">
            <w:pPr>
              <w:pStyle w:val="Default"/>
              <w:rPr>
                <w:rFonts w:ascii="Verdana" w:hAnsi="Verdana"/>
              </w:rPr>
            </w:pPr>
            <w:r w:rsidRPr="00D2688F">
              <w:rPr>
                <w:rFonts w:ascii="Verdana" w:hAnsi="Verdana"/>
              </w:rPr>
              <w:lastRenderedPageBreak/>
              <w:t xml:space="preserve"> </w:t>
            </w:r>
          </w:p>
        </w:tc>
        <w:tc>
          <w:tcPr>
            <w:tcW w:w="360" w:type="dxa"/>
          </w:tcPr>
          <w:p w:rsidR="00F92D74" w:rsidRPr="00D2688F" w:rsidRDefault="00F92D74" w:rsidP="0093436C">
            <w:pPr>
              <w:rPr>
                <w:rFonts w:ascii="Verdana" w:hAnsi="Verdana"/>
                <w:sz w:val="24"/>
                <w:szCs w:val="24"/>
              </w:rPr>
            </w:pPr>
            <w:r w:rsidRPr="00D2688F">
              <w:rPr>
                <w:rFonts w:ascii="Verdana" w:hAnsi="Verdana"/>
                <w:sz w:val="24"/>
                <w:szCs w:val="24"/>
              </w:rPr>
              <w:t xml:space="preserve"> </w:t>
            </w:r>
          </w:p>
        </w:tc>
      </w:tr>
      <w:tr w:rsidR="00F92D74" w:rsidRPr="00D2688F" w:rsidTr="00AA7481">
        <w:trPr>
          <w:trHeight w:val="110"/>
        </w:trPr>
        <w:tc>
          <w:tcPr>
            <w:tcW w:w="8897" w:type="dxa"/>
            <w:gridSpan w:val="2"/>
            <w:tcBorders>
              <w:top w:val="nil"/>
              <w:left w:val="nil"/>
              <w:bottom w:val="nil"/>
              <w:right w:val="nil"/>
            </w:tcBorders>
          </w:tcPr>
          <w:p w:rsidR="00F92D74" w:rsidRPr="00D2688F" w:rsidRDefault="00F92D74" w:rsidP="0093436C">
            <w:pPr>
              <w:pStyle w:val="Default"/>
              <w:rPr>
                <w:rFonts w:ascii="Verdana" w:hAnsi="Verdana"/>
              </w:rPr>
            </w:pPr>
            <w:r w:rsidRPr="00D2688F">
              <w:rPr>
                <w:rFonts w:ascii="Verdana" w:hAnsi="Verdana" w:cstheme="minorBidi"/>
                <w:color w:val="auto"/>
              </w:rPr>
              <w:lastRenderedPageBreak/>
              <w:t xml:space="preserve"> </w:t>
            </w:r>
          </w:p>
          <w:tbl>
            <w:tblPr>
              <w:tblStyle w:val="TableGrid"/>
              <w:tblW w:w="0" w:type="auto"/>
              <w:tblLook w:val="04A0"/>
            </w:tblPr>
            <w:tblGrid>
              <w:gridCol w:w="4639"/>
              <w:gridCol w:w="1418"/>
            </w:tblGrid>
            <w:tr w:rsidR="00F92D74" w:rsidRPr="00D2688F" w:rsidTr="0093436C">
              <w:tc>
                <w:tcPr>
                  <w:tcW w:w="4639" w:type="dxa"/>
                </w:tcPr>
                <w:p w:rsidR="00F92D74" w:rsidRPr="00D2688F" w:rsidRDefault="00F92D74" w:rsidP="0093436C">
                  <w:pPr>
                    <w:pStyle w:val="Default"/>
                    <w:rPr>
                      <w:rFonts w:ascii="Verdana" w:hAnsi="Verdana"/>
                      <w:b/>
                    </w:rPr>
                  </w:pPr>
                  <w:r w:rsidRPr="00D2688F">
                    <w:rPr>
                      <w:rFonts w:ascii="Verdana" w:hAnsi="Verdana"/>
                      <w:b/>
                    </w:rPr>
                    <w:t xml:space="preserve">Activity </w:t>
                  </w:r>
                </w:p>
              </w:tc>
              <w:tc>
                <w:tcPr>
                  <w:tcW w:w="1418" w:type="dxa"/>
                </w:tcPr>
                <w:p w:rsidR="00F92D74" w:rsidRPr="00D2688F" w:rsidRDefault="00F92D74" w:rsidP="0093436C">
                  <w:pPr>
                    <w:pStyle w:val="Default"/>
                    <w:jc w:val="center"/>
                    <w:rPr>
                      <w:rFonts w:ascii="Verdana" w:hAnsi="Verdana"/>
                      <w:b/>
                    </w:rPr>
                  </w:pPr>
                  <w:r w:rsidRPr="00D2688F">
                    <w:rPr>
                      <w:rFonts w:ascii="Verdana" w:hAnsi="Verdana"/>
                      <w:b/>
                    </w:rPr>
                    <w:t>Date</w:t>
                  </w:r>
                </w:p>
              </w:tc>
            </w:tr>
            <w:tr w:rsidR="00F92D74" w:rsidRPr="00D2688F" w:rsidTr="0093436C">
              <w:tc>
                <w:tcPr>
                  <w:tcW w:w="4639" w:type="dxa"/>
                </w:tcPr>
                <w:p w:rsidR="00F92D74" w:rsidRPr="00D2688F" w:rsidRDefault="00F92D74" w:rsidP="0093436C">
                  <w:pPr>
                    <w:pStyle w:val="Default"/>
                    <w:rPr>
                      <w:rFonts w:ascii="Verdana" w:hAnsi="Verdana"/>
                    </w:rPr>
                  </w:pPr>
                  <w:r w:rsidRPr="00D2688F">
                    <w:rPr>
                      <w:rFonts w:ascii="Verdana" w:hAnsi="Verdana"/>
                    </w:rPr>
                    <w:t>BBQ at John Kirk House</w:t>
                  </w:r>
                </w:p>
              </w:tc>
              <w:tc>
                <w:tcPr>
                  <w:tcW w:w="1418" w:type="dxa"/>
                </w:tcPr>
                <w:p w:rsidR="00F92D74" w:rsidRPr="00D2688F" w:rsidRDefault="00F92D74" w:rsidP="0093436C">
                  <w:pPr>
                    <w:pStyle w:val="Default"/>
                    <w:jc w:val="right"/>
                    <w:rPr>
                      <w:rFonts w:ascii="Verdana" w:hAnsi="Verdana"/>
                    </w:rPr>
                  </w:pPr>
                  <w:r w:rsidRPr="00D2688F">
                    <w:rPr>
                      <w:rFonts w:ascii="Verdana" w:hAnsi="Verdana"/>
                    </w:rPr>
                    <w:t>27</w:t>
                  </w:r>
                  <w:r w:rsidRPr="00D2688F">
                    <w:rPr>
                      <w:rFonts w:ascii="Verdana" w:hAnsi="Verdana"/>
                      <w:vertAlign w:val="superscript"/>
                    </w:rPr>
                    <w:t>th</w:t>
                  </w:r>
                  <w:r w:rsidRPr="00D2688F">
                    <w:rPr>
                      <w:rFonts w:ascii="Verdana" w:hAnsi="Verdana"/>
                    </w:rPr>
                    <w:t xml:space="preserve"> June</w:t>
                  </w:r>
                </w:p>
              </w:tc>
            </w:tr>
            <w:tr w:rsidR="00F92D74" w:rsidRPr="00D2688F" w:rsidTr="0093436C">
              <w:tc>
                <w:tcPr>
                  <w:tcW w:w="4639" w:type="dxa"/>
                </w:tcPr>
                <w:p w:rsidR="00F92D74" w:rsidRPr="00D2688F" w:rsidRDefault="00F92D74" w:rsidP="0093436C">
                  <w:pPr>
                    <w:pStyle w:val="Default"/>
                    <w:rPr>
                      <w:rFonts w:ascii="Verdana" w:hAnsi="Verdana"/>
                    </w:rPr>
                  </w:pPr>
                  <w:r w:rsidRPr="00D2688F">
                    <w:rPr>
                      <w:rFonts w:ascii="Verdana" w:hAnsi="Verdana"/>
                    </w:rPr>
                    <w:t>Theatre Visit to Grand</w:t>
                  </w:r>
                </w:p>
              </w:tc>
              <w:tc>
                <w:tcPr>
                  <w:tcW w:w="1418" w:type="dxa"/>
                </w:tcPr>
                <w:p w:rsidR="00F92D74" w:rsidRPr="00D2688F" w:rsidRDefault="00F92D74" w:rsidP="0093436C">
                  <w:pPr>
                    <w:pStyle w:val="Default"/>
                    <w:jc w:val="right"/>
                    <w:rPr>
                      <w:rFonts w:ascii="Verdana" w:hAnsi="Verdana"/>
                    </w:rPr>
                  </w:pPr>
                  <w:r w:rsidRPr="00D2688F">
                    <w:rPr>
                      <w:rFonts w:ascii="Verdana" w:hAnsi="Verdana"/>
                    </w:rPr>
                    <w:t>2nd July</w:t>
                  </w:r>
                </w:p>
              </w:tc>
            </w:tr>
            <w:tr w:rsidR="00F92D74" w:rsidRPr="00D2688F" w:rsidTr="0093436C">
              <w:tc>
                <w:tcPr>
                  <w:tcW w:w="4639" w:type="dxa"/>
                </w:tcPr>
                <w:p w:rsidR="00F92D74" w:rsidRPr="00D2688F" w:rsidRDefault="00F92D74" w:rsidP="0093436C">
                  <w:pPr>
                    <w:pStyle w:val="Default"/>
                    <w:rPr>
                      <w:rFonts w:ascii="Verdana" w:hAnsi="Verdana"/>
                    </w:rPr>
                  </w:pPr>
                  <w:r w:rsidRPr="00D2688F">
                    <w:rPr>
                      <w:rFonts w:ascii="Verdana" w:hAnsi="Verdana"/>
                    </w:rPr>
                    <w:t>Art Exhibition in Battersea</w:t>
                  </w:r>
                </w:p>
              </w:tc>
              <w:tc>
                <w:tcPr>
                  <w:tcW w:w="1418" w:type="dxa"/>
                </w:tcPr>
                <w:p w:rsidR="00F92D74" w:rsidRPr="00D2688F" w:rsidRDefault="00F92D74" w:rsidP="0093436C">
                  <w:pPr>
                    <w:pStyle w:val="Default"/>
                    <w:jc w:val="right"/>
                    <w:rPr>
                      <w:rFonts w:ascii="Verdana" w:hAnsi="Verdana"/>
                    </w:rPr>
                  </w:pPr>
                  <w:r w:rsidRPr="00D2688F">
                    <w:rPr>
                      <w:rFonts w:ascii="Verdana" w:hAnsi="Verdana"/>
                    </w:rPr>
                    <w:t>27</w:t>
                  </w:r>
                  <w:r w:rsidRPr="00D2688F">
                    <w:rPr>
                      <w:rFonts w:ascii="Verdana" w:hAnsi="Verdana"/>
                      <w:vertAlign w:val="superscript"/>
                    </w:rPr>
                    <w:t>th</w:t>
                  </w:r>
                  <w:r w:rsidRPr="00D2688F">
                    <w:rPr>
                      <w:rFonts w:ascii="Verdana" w:hAnsi="Verdana"/>
                    </w:rPr>
                    <w:t xml:space="preserve"> Aug</w:t>
                  </w:r>
                </w:p>
              </w:tc>
            </w:tr>
            <w:tr w:rsidR="00F92D74" w:rsidRPr="00D2688F" w:rsidTr="0093436C">
              <w:tc>
                <w:tcPr>
                  <w:tcW w:w="4639" w:type="dxa"/>
                </w:tcPr>
                <w:p w:rsidR="00F92D74" w:rsidRPr="00D2688F" w:rsidRDefault="00F92D74" w:rsidP="0093436C">
                  <w:pPr>
                    <w:pStyle w:val="Default"/>
                    <w:rPr>
                      <w:rFonts w:ascii="Verdana" w:hAnsi="Verdana"/>
                    </w:rPr>
                  </w:pPr>
                  <w:r w:rsidRPr="00D2688F">
                    <w:rPr>
                      <w:rFonts w:ascii="Verdana" w:hAnsi="Verdana"/>
                    </w:rPr>
                    <w:t>Quiz in Doris Emmerton</w:t>
                  </w:r>
                </w:p>
              </w:tc>
              <w:tc>
                <w:tcPr>
                  <w:tcW w:w="1418" w:type="dxa"/>
                </w:tcPr>
                <w:p w:rsidR="00F92D74" w:rsidRPr="00D2688F" w:rsidRDefault="00F92D74" w:rsidP="0093436C">
                  <w:pPr>
                    <w:pStyle w:val="Default"/>
                    <w:jc w:val="right"/>
                    <w:rPr>
                      <w:rFonts w:ascii="Verdana" w:hAnsi="Verdana"/>
                    </w:rPr>
                  </w:pPr>
                  <w:r w:rsidRPr="00D2688F">
                    <w:rPr>
                      <w:rFonts w:ascii="Verdana" w:hAnsi="Verdana"/>
                    </w:rPr>
                    <w:t>10</w:t>
                  </w:r>
                  <w:r w:rsidRPr="00D2688F">
                    <w:rPr>
                      <w:rFonts w:ascii="Verdana" w:hAnsi="Verdana"/>
                      <w:vertAlign w:val="superscript"/>
                    </w:rPr>
                    <w:t xml:space="preserve">th </w:t>
                  </w:r>
                  <w:r w:rsidRPr="00D2688F">
                    <w:rPr>
                      <w:rFonts w:ascii="Verdana" w:hAnsi="Verdana"/>
                    </w:rPr>
                    <w:t>Sept</w:t>
                  </w:r>
                </w:p>
              </w:tc>
            </w:tr>
            <w:tr w:rsidR="00F92D74" w:rsidRPr="00D2688F" w:rsidTr="0093436C">
              <w:tc>
                <w:tcPr>
                  <w:tcW w:w="4639" w:type="dxa"/>
                </w:tcPr>
                <w:p w:rsidR="00F92D74" w:rsidRPr="00D2688F" w:rsidRDefault="00F92D74" w:rsidP="0093436C">
                  <w:pPr>
                    <w:pStyle w:val="Default"/>
                    <w:rPr>
                      <w:rFonts w:ascii="Verdana" w:hAnsi="Verdana"/>
                    </w:rPr>
                  </w:pPr>
                  <w:r w:rsidRPr="00D2688F">
                    <w:rPr>
                      <w:rFonts w:ascii="Verdana" w:hAnsi="Verdana"/>
                    </w:rPr>
                    <w:t>IT Class in Holmleigh Court</w:t>
                  </w:r>
                </w:p>
              </w:tc>
              <w:tc>
                <w:tcPr>
                  <w:tcW w:w="1418" w:type="dxa"/>
                </w:tcPr>
                <w:p w:rsidR="00F92D74" w:rsidRPr="00D2688F" w:rsidRDefault="00F92D74" w:rsidP="0093436C">
                  <w:pPr>
                    <w:pStyle w:val="Default"/>
                    <w:jc w:val="right"/>
                    <w:rPr>
                      <w:rFonts w:ascii="Verdana" w:hAnsi="Verdana"/>
                    </w:rPr>
                  </w:pPr>
                  <w:r w:rsidRPr="00D2688F">
                    <w:rPr>
                      <w:rFonts w:ascii="Verdana" w:hAnsi="Verdana"/>
                    </w:rPr>
                    <w:t>15</w:t>
                  </w:r>
                  <w:r w:rsidRPr="00D2688F">
                    <w:rPr>
                      <w:rFonts w:ascii="Verdana" w:hAnsi="Verdana"/>
                      <w:vertAlign w:val="superscript"/>
                    </w:rPr>
                    <w:t>th</w:t>
                  </w:r>
                  <w:r w:rsidRPr="00D2688F">
                    <w:rPr>
                      <w:rFonts w:ascii="Verdana" w:hAnsi="Verdana"/>
                    </w:rPr>
                    <w:t xml:space="preserve"> Oct</w:t>
                  </w:r>
                </w:p>
              </w:tc>
            </w:tr>
          </w:tbl>
          <w:p w:rsidR="00F92D74" w:rsidRPr="00D2688F" w:rsidRDefault="00F92D74" w:rsidP="0093436C">
            <w:pPr>
              <w:pStyle w:val="Default"/>
              <w:rPr>
                <w:rFonts w:ascii="Verdana" w:hAnsi="Verdana"/>
              </w:rPr>
            </w:pPr>
          </w:p>
        </w:tc>
        <w:tc>
          <w:tcPr>
            <w:tcW w:w="2532" w:type="dxa"/>
            <w:tcBorders>
              <w:top w:val="nil"/>
              <w:left w:val="nil"/>
              <w:bottom w:val="nil"/>
              <w:right w:val="nil"/>
            </w:tcBorders>
          </w:tcPr>
          <w:p w:rsidR="00F92D74" w:rsidRPr="00D2688F" w:rsidRDefault="00F92D74" w:rsidP="0093436C">
            <w:pPr>
              <w:pStyle w:val="Default"/>
              <w:rPr>
                <w:rFonts w:ascii="Verdana" w:hAnsi="Verdana"/>
              </w:rPr>
            </w:pPr>
            <w:r w:rsidRPr="00D2688F">
              <w:rPr>
                <w:rFonts w:ascii="Verdana" w:hAnsi="Verdana"/>
              </w:rPr>
              <w:t xml:space="preserve"> </w:t>
            </w:r>
          </w:p>
        </w:tc>
        <w:tc>
          <w:tcPr>
            <w:tcW w:w="360" w:type="dxa"/>
          </w:tcPr>
          <w:p w:rsidR="00F92D74" w:rsidRPr="00D2688F" w:rsidRDefault="00F92D74" w:rsidP="0093436C">
            <w:pPr>
              <w:rPr>
                <w:rFonts w:ascii="Verdana" w:hAnsi="Verdana"/>
                <w:sz w:val="24"/>
                <w:szCs w:val="24"/>
              </w:rPr>
            </w:pPr>
            <w:r w:rsidRPr="00D2688F">
              <w:rPr>
                <w:rFonts w:ascii="Verdana" w:hAnsi="Verdana"/>
                <w:sz w:val="24"/>
                <w:szCs w:val="24"/>
              </w:rPr>
              <w:t xml:space="preserve"> </w:t>
            </w:r>
          </w:p>
        </w:tc>
      </w:tr>
      <w:tr w:rsidR="00F92D74" w:rsidRPr="00D2688F" w:rsidTr="00AA7481">
        <w:trPr>
          <w:trHeight w:val="110"/>
        </w:trPr>
        <w:tc>
          <w:tcPr>
            <w:tcW w:w="8897" w:type="dxa"/>
            <w:gridSpan w:val="2"/>
            <w:tcBorders>
              <w:top w:val="nil"/>
              <w:left w:val="nil"/>
              <w:bottom w:val="nil"/>
              <w:right w:val="nil"/>
            </w:tcBorders>
          </w:tcPr>
          <w:p w:rsidR="00F92D74" w:rsidRPr="00D2688F" w:rsidRDefault="00F92D74" w:rsidP="0093436C">
            <w:pPr>
              <w:pStyle w:val="Default"/>
              <w:rPr>
                <w:rFonts w:ascii="Verdana" w:hAnsi="Verdana"/>
              </w:rPr>
            </w:pPr>
          </w:p>
        </w:tc>
        <w:tc>
          <w:tcPr>
            <w:tcW w:w="2532" w:type="dxa"/>
            <w:tcBorders>
              <w:top w:val="nil"/>
              <w:left w:val="nil"/>
              <w:bottom w:val="nil"/>
              <w:right w:val="nil"/>
            </w:tcBorders>
          </w:tcPr>
          <w:p w:rsidR="00F92D74" w:rsidRPr="00D2688F" w:rsidRDefault="00F92D74" w:rsidP="0093436C">
            <w:pPr>
              <w:pStyle w:val="Default"/>
              <w:rPr>
                <w:rFonts w:ascii="Verdana" w:hAnsi="Verdana"/>
              </w:rPr>
            </w:pPr>
          </w:p>
        </w:tc>
        <w:tc>
          <w:tcPr>
            <w:tcW w:w="360" w:type="dxa"/>
          </w:tcPr>
          <w:p w:rsidR="00F92D74" w:rsidRPr="00D2688F" w:rsidRDefault="00F92D74" w:rsidP="0093436C">
            <w:pPr>
              <w:rPr>
                <w:rFonts w:ascii="Verdana" w:hAnsi="Verdana"/>
                <w:sz w:val="24"/>
                <w:szCs w:val="24"/>
              </w:rPr>
            </w:pPr>
            <w:r w:rsidRPr="00D2688F">
              <w:rPr>
                <w:rFonts w:ascii="Verdana" w:hAnsi="Verdana"/>
                <w:sz w:val="24"/>
                <w:szCs w:val="24"/>
              </w:rPr>
              <w:t xml:space="preserve"> </w:t>
            </w:r>
          </w:p>
        </w:tc>
      </w:tr>
      <w:tr w:rsidR="00161F6C" w:rsidRPr="00D2688F" w:rsidTr="00AA7481">
        <w:tblPrEx>
          <w:tblCellMar>
            <w:left w:w="108" w:type="dxa"/>
            <w:right w:w="108" w:type="dxa"/>
          </w:tblCellMar>
        </w:tblPrEx>
        <w:trPr>
          <w:gridAfter w:val="3"/>
          <w:wAfter w:w="7570" w:type="dxa"/>
          <w:trHeight w:val="863"/>
        </w:trPr>
        <w:tc>
          <w:tcPr>
            <w:tcW w:w="4219" w:type="dxa"/>
          </w:tcPr>
          <w:p w:rsidR="00161F6C" w:rsidRPr="00D2688F" w:rsidRDefault="00161F6C" w:rsidP="00893CC4">
            <w:pPr>
              <w:pStyle w:val="Default"/>
              <w:ind w:left="1080"/>
              <w:rPr>
                <w:rFonts w:ascii="Verdana" w:hAnsi="Verdana"/>
              </w:rPr>
            </w:pPr>
          </w:p>
        </w:tc>
      </w:tr>
    </w:tbl>
    <w:p w:rsidR="00161F6C" w:rsidRPr="00D2688F" w:rsidRDefault="00161F6C" w:rsidP="00161F6C">
      <w:pPr>
        <w:rPr>
          <w:rFonts w:ascii="Verdana" w:hAnsi="Verdana"/>
          <w:sz w:val="24"/>
          <w:szCs w:val="24"/>
        </w:rPr>
      </w:pPr>
    </w:p>
    <w:sectPr w:rsidR="00161F6C" w:rsidRPr="00D2688F" w:rsidSect="00F70CD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D0D" w:rsidRDefault="007F7D0D" w:rsidP="009D38F8">
      <w:pPr>
        <w:spacing w:after="0" w:line="240" w:lineRule="auto"/>
      </w:pPr>
      <w:r>
        <w:separator/>
      </w:r>
    </w:p>
  </w:endnote>
  <w:endnote w:type="continuationSeparator" w:id="0">
    <w:p w:rsidR="007F7D0D" w:rsidRDefault="007F7D0D" w:rsidP="009D3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AA" w:rsidRDefault="009A31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8F8" w:rsidRDefault="009D38F8">
    <w:pPr>
      <w:pStyle w:val="Footer"/>
    </w:pPr>
    <w:r>
      <w:tab/>
    </w:r>
    <w:r>
      <w:tab/>
      <w:t>WOW Intergenerational Project - Evaluation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AA" w:rsidRDefault="009A3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D0D" w:rsidRDefault="007F7D0D" w:rsidP="009D38F8">
      <w:pPr>
        <w:spacing w:after="0" w:line="240" w:lineRule="auto"/>
      </w:pPr>
      <w:r>
        <w:separator/>
      </w:r>
    </w:p>
  </w:footnote>
  <w:footnote w:type="continuationSeparator" w:id="0">
    <w:p w:rsidR="007F7D0D" w:rsidRDefault="007F7D0D" w:rsidP="009D38F8">
      <w:pPr>
        <w:spacing w:after="0" w:line="240" w:lineRule="auto"/>
      </w:pPr>
      <w:r>
        <w:continuationSeparator/>
      </w:r>
    </w:p>
  </w:footnote>
  <w:footnote w:id="1">
    <w:p w:rsidR="00562B71" w:rsidRDefault="00562B71" w:rsidP="00562B71">
      <w:pPr>
        <w:pStyle w:val="FootnoteText"/>
      </w:pPr>
      <w:r>
        <w:rPr>
          <w:rStyle w:val="FootnoteReference"/>
        </w:rPr>
        <w:footnoteRef/>
      </w:r>
      <w:r>
        <w:t xml:space="preserve">  Figures up to 2011 can be derived from the Annual Survey of Hours and Earnings (ASHE) </w:t>
      </w:r>
    </w:p>
  </w:footnote>
  <w:footnote w:id="2">
    <w:p w:rsidR="00840E74" w:rsidRDefault="00840E74">
      <w:pPr>
        <w:pStyle w:val="FootnoteText"/>
      </w:pPr>
      <w:r>
        <w:rPr>
          <w:rStyle w:val="FootnoteReference"/>
        </w:rPr>
        <w:footnoteRef/>
      </w:r>
      <w:r>
        <w:t xml:space="preserve"> Department for Education ‘Evaluation of the </w:t>
      </w:r>
      <w:r w:rsidR="00382EF8">
        <w:t>generation’s</w:t>
      </w:r>
      <w:r>
        <w:t xml:space="preserve"> together programme’ (2010); Beth Johnson Foundation, ‘How do you know that </w:t>
      </w:r>
      <w:r w:rsidR="00382EF8">
        <w:t xml:space="preserve">intergenerational practice works? </w:t>
      </w:r>
      <w:r w:rsidR="00BF73C5">
        <w:t>(2004)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AA" w:rsidRDefault="009A31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AA" w:rsidRDefault="009A31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AA" w:rsidRDefault="009A31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05E1"/>
    <w:multiLevelType w:val="hybridMultilevel"/>
    <w:tmpl w:val="339AE130"/>
    <w:lvl w:ilvl="0" w:tplc="025AB50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990FA3"/>
    <w:multiLevelType w:val="hybridMultilevel"/>
    <w:tmpl w:val="03E2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CC7B62"/>
    <w:multiLevelType w:val="hybridMultilevel"/>
    <w:tmpl w:val="48B0DFD0"/>
    <w:lvl w:ilvl="0" w:tplc="B9F8098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31D7595"/>
    <w:multiLevelType w:val="hybridMultilevel"/>
    <w:tmpl w:val="3A32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784611"/>
    <w:multiLevelType w:val="hybridMultilevel"/>
    <w:tmpl w:val="427609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7459EA"/>
    <w:multiLevelType w:val="hybridMultilevel"/>
    <w:tmpl w:val="5F82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4B3F70"/>
    <w:multiLevelType w:val="hybridMultilevel"/>
    <w:tmpl w:val="731C9950"/>
    <w:lvl w:ilvl="0" w:tplc="CA12CF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D605DB"/>
    <w:multiLevelType w:val="hybridMultilevel"/>
    <w:tmpl w:val="A26EFE4C"/>
    <w:lvl w:ilvl="0" w:tplc="B9F809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260A3B"/>
    <w:multiLevelType w:val="hybridMultilevel"/>
    <w:tmpl w:val="63EE3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DB22610"/>
    <w:multiLevelType w:val="hybridMultilevel"/>
    <w:tmpl w:val="FB0A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8"/>
  </w:num>
  <w:num w:numId="5">
    <w:abstractNumId w:val="3"/>
  </w:num>
  <w:num w:numId="6">
    <w:abstractNumId w:val="6"/>
  </w:num>
  <w:num w:numId="7">
    <w:abstractNumId w:val="1"/>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161F6C"/>
    <w:rsid w:val="000C5CFA"/>
    <w:rsid w:val="000F5B9A"/>
    <w:rsid w:val="00161F6C"/>
    <w:rsid w:val="00186498"/>
    <w:rsid w:val="001A5CC3"/>
    <w:rsid w:val="001C34E5"/>
    <w:rsid w:val="002134F3"/>
    <w:rsid w:val="0026396F"/>
    <w:rsid w:val="002C674C"/>
    <w:rsid w:val="002E1D50"/>
    <w:rsid w:val="0030639E"/>
    <w:rsid w:val="00382EF8"/>
    <w:rsid w:val="00387D66"/>
    <w:rsid w:val="003E6F4C"/>
    <w:rsid w:val="00506943"/>
    <w:rsid w:val="00562B71"/>
    <w:rsid w:val="006B1BF3"/>
    <w:rsid w:val="006B42F5"/>
    <w:rsid w:val="006D1CEC"/>
    <w:rsid w:val="00716C2A"/>
    <w:rsid w:val="00723F94"/>
    <w:rsid w:val="00734E92"/>
    <w:rsid w:val="00790579"/>
    <w:rsid w:val="00795457"/>
    <w:rsid w:val="007C6C50"/>
    <w:rsid w:val="007F25A1"/>
    <w:rsid w:val="007F7D0D"/>
    <w:rsid w:val="00830D4D"/>
    <w:rsid w:val="00840E74"/>
    <w:rsid w:val="00877487"/>
    <w:rsid w:val="00893CC4"/>
    <w:rsid w:val="008941DF"/>
    <w:rsid w:val="008B5A0C"/>
    <w:rsid w:val="008D6CD0"/>
    <w:rsid w:val="008E4534"/>
    <w:rsid w:val="00996C7D"/>
    <w:rsid w:val="009A31AA"/>
    <w:rsid w:val="009D38F8"/>
    <w:rsid w:val="009E4B89"/>
    <w:rsid w:val="00AA7481"/>
    <w:rsid w:val="00AD4539"/>
    <w:rsid w:val="00BF73C5"/>
    <w:rsid w:val="00C42917"/>
    <w:rsid w:val="00CB574B"/>
    <w:rsid w:val="00D2688F"/>
    <w:rsid w:val="00D4130E"/>
    <w:rsid w:val="00D47D18"/>
    <w:rsid w:val="00DC3C71"/>
    <w:rsid w:val="00DD61DA"/>
    <w:rsid w:val="00DF4EF5"/>
    <w:rsid w:val="00E6104B"/>
    <w:rsid w:val="00E9049D"/>
    <w:rsid w:val="00E90510"/>
    <w:rsid w:val="00F64D54"/>
    <w:rsid w:val="00F70CD8"/>
    <w:rsid w:val="00F865D6"/>
    <w:rsid w:val="00F92D74"/>
    <w:rsid w:val="00FE64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D6"/>
  </w:style>
  <w:style w:type="paragraph" w:styleId="Heading1">
    <w:name w:val="heading 1"/>
    <w:basedOn w:val="Normal"/>
    <w:next w:val="Normal"/>
    <w:link w:val="Heading1Char"/>
    <w:uiPriority w:val="9"/>
    <w:qFormat/>
    <w:rsid w:val="00AA74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74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1F6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61F6C"/>
    <w:pPr>
      <w:ind w:left="720"/>
      <w:contextualSpacing/>
    </w:pPr>
  </w:style>
  <w:style w:type="table" w:styleId="TableGrid">
    <w:name w:val="Table Grid"/>
    <w:basedOn w:val="TableNormal"/>
    <w:uiPriority w:val="59"/>
    <w:rsid w:val="00263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A74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748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AA7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481"/>
    <w:rPr>
      <w:rFonts w:ascii="Segoe UI" w:hAnsi="Segoe UI" w:cs="Segoe UI"/>
      <w:sz w:val="18"/>
      <w:szCs w:val="18"/>
    </w:rPr>
  </w:style>
  <w:style w:type="paragraph" w:styleId="Header">
    <w:name w:val="header"/>
    <w:basedOn w:val="Normal"/>
    <w:link w:val="HeaderChar"/>
    <w:uiPriority w:val="99"/>
    <w:semiHidden/>
    <w:unhideWhenUsed/>
    <w:rsid w:val="009D38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38F8"/>
  </w:style>
  <w:style w:type="paragraph" w:styleId="Footer">
    <w:name w:val="footer"/>
    <w:basedOn w:val="Normal"/>
    <w:link w:val="FooterChar"/>
    <w:uiPriority w:val="99"/>
    <w:semiHidden/>
    <w:unhideWhenUsed/>
    <w:rsid w:val="009D38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38F8"/>
  </w:style>
  <w:style w:type="paragraph" w:styleId="FootnoteText">
    <w:name w:val="footnote text"/>
    <w:basedOn w:val="Normal"/>
    <w:link w:val="FootnoteTextChar"/>
    <w:uiPriority w:val="99"/>
    <w:semiHidden/>
    <w:unhideWhenUsed/>
    <w:rsid w:val="00562B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2B71"/>
    <w:rPr>
      <w:sz w:val="20"/>
      <w:szCs w:val="20"/>
    </w:rPr>
  </w:style>
  <w:style w:type="character" w:styleId="FootnoteReference">
    <w:name w:val="footnote reference"/>
    <w:basedOn w:val="DefaultParagraphFont"/>
    <w:uiPriority w:val="99"/>
    <w:semiHidden/>
    <w:unhideWhenUsed/>
    <w:rsid w:val="00562B71"/>
    <w:rPr>
      <w:vertAlign w:val="superscript"/>
    </w:rPr>
  </w:style>
  <w:style w:type="paragraph" w:styleId="Caption">
    <w:name w:val="caption"/>
    <w:basedOn w:val="Normal"/>
    <w:next w:val="Normal"/>
    <w:uiPriority w:val="35"/>
    <w:unhideWhenUsed/>
    <w:qFormat/>
    <w:rsid w:val="00F64D54"/>
    <w:pPr>
      <w:spacing w:after="200"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7DF1-4B76-4480-9F0F-983B9BBA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Tutor2</dc:creator>
  <cp:lastModifiedBy>USER</cp:lastModifiedBy>
  <cp:revision>6</cp:revision>
  <dcterms:created xsi:type="dcterms:W3CDTF">2015-09-01T21:00:00Z</dcterms:created>
  <dcterms:modified xsi:type="dcterms:W3CDTF">2015-09-01T21:06:00Z</dcterms:modified>
</cp:coreProperties>
</file>